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92D" w:rsidRDefault="00E8092D" w:rsidP="00E8092D">
      <w:pPr>
        <w:jc w:val="center"/>
        <w:rPr>
          <w:rFonts w:asciiTheme="majorHAnsi" w:hAnsiTheme="majorHAnsi" w:cs="Times New Roman"/>
          <w:b/>
          <w:color w:val="000000"/>
          <w:sz w:val="48"/>
          <w:szCs w:val="32"/>
        </w:rPr>
      </w:pPr>
      <w:r w:rsidRPr="00E8092D">
        <w:rPr>
          <w:rFonts w:asciiTheme="majorHAnsi" w:hAnsiTheme="majorHAnsi" w:cs="Times New Roman"/>
          <w:b/>
          <w:color w:val="000000"/>
          <w:sz w:val="48"/>
          <w:szCs w:val="32"/>
        </w:rPr>
        <w:t>Equality, Diversity, Inclusion and Human Rights in Times of Austerity</w:t>
      </w:r>
    </w:p>
    <w:p w:rsidR="00E8092D" w:rsidRPr="00986C44" w:rsidRDefault="00E8092D" w:rsidP="00E8092D">
      <w:pPr>
        <w:jc w:val="center"/>
        <w:rPr>
          <w:rFonts w:asciiTheme="majorHAnsi" w:hAnsiTheme="majorHAnsi" w:cs="Times New Roman"/>
          <w:color w:val="000000"/>
          <w:sz w:val="27"/>
          <w:szCs w:val="27"/>
        </w:rPr>
      </w:pPr>
    </w:p>
    <w:p w:rsidR="00E8092D" w:rsidRPr="00986C44" w:rsidRDefault="00E8092D" w:rsidP="00E8092D">
      <w:pPr>
        <w:jc w:val="center"/>
        <w:rPr>
          <w:rFonts w:asciiTheme="majorHAnsi" w:hAnsiTheme="majorHAnsi" w:cs="Times New Roman"/>
          <w:color w:val="000000"/>
          <w:sz w:val="20"/>
          <w:szCs w:val="20"/>
        </w:rPr>
      </w:pPr>
      <w:r w:rsidRPr="00E8092D">
        <w:rPr>
          <w:rFonts w:asciiTheme="majorHAnsi" w:hAnsiTheme="majorHAnsi" w:cs="Times New Roman"/>
          <w:b/>
          <w:bCs/>
          <w:color w:val="000000"/>
          <w:sz w:val="32"/>
          <w:szCs w:val="27"/>
        </w:rPr>
        <w:t>Stream 16:</w:t>
      </w:r>
      <w:r w:rsidRPr="00E8092D">
        <w:rPr>
          <w:rFonts w:asciiTheme="majorHAnsi" w:hAnsiTheme="majorHAnsi" w:cs="Times New Roman"/>
          <w:bCs/>
          <w:color w:val="000000"/>
          <w:sz w:val="32"/>
          <w:szCs w:val="27"/>
        </w:rPr>
        <w:t> Economic crisis and austerity the risks on human and social rights at work</w:t>
      </w:r>
    </w:p>
    <w:p w:rsidR="00E8092D" w:rsidRPr="00986C44" w:rsidRDefault="00E8092D" w:rsidP="00E8092D">
      <w:pPr>
        <w:jc w:val="center"/>
        <w:rPr>
          <w:rFonts w:asciiTheme="majorHAnsi" w:hAnsiTheme="majorHAnsi" w:cs="Times New Roman"/>
          <w:color w:val="000000"/>
          <w:sz w:val="20"/>
          <w:szCs w:val="20"/>
        </w:rPr>
      </w:pPr>
    </w:p>
    <w:p w:rsidR="00E8092D" w:rsidRPr="00D85084" w:rsidRDefault="00E8092D" w:rsidP="00E8092D">
      <w:pPr>
        <w:jc w:val="center"/>
        <w:rPr>
          <w:rFonts w:asciiTheme="majorHAnsi" w:hAnsiTheme="majorHAnsi" w:cs="Times New Roman"/>
          <w:b/>
          <w:bCs/>
          <w:color w:val="000000"/>
          <w:sz w:val="36"/>
          <w:szCs w:val="28"/>
        </w:rPr>
      </w:pPr>
      <w:r>
        <w:rPr>
          <w:rFonts w:asciiTheme="majorHAnsi" w:hAnsiTheme="majorHAnsi" w:cs="Times New Roman"/>
          <w:b/>
          <w:bCs/>
          <w:color w:val="000000"/>
          <w:sz w:val="36"/>
          <w:szCs w:val="28"/>
        </w:rPr>
        <w:t>Abstract</w:t>
      </w:r>
      <w:r w:rsidRPr="00D85084">
        <w:rPr>
          <w:rFonts w:asciiTheme="majorHAnsi" w:hAnsiTheme="majorHAnsi" w:cs="Times New Roman"/>
          <w:b/>
          <w:bCs/>
          <w:color w:val="000000"/>
          <w:sz w:val="36"/>
          <w:szCs w:val="28"/>
        </w:rPr>
        <w:t xml:space="preserve"> Submission</w:t>
      </w:r>
    </w:p>
    <w:p w:rsidR="00E8092D" w:rsidRDefault="00E8092D" w:rsidP="00E8092D">
      <w:pPr>
        <w:jc w:val="center"/>
        <w:rPr>
          <w:rFonts w:asciiTheme="majorHAnsi" w:hAnsiTheme="majorHAnsi" w:cs="Times New Roman"/>
          <w:b/>
          <w:bCs/>
          <w:color w:val="000000"/>
        </w:rPr>
      </w:pPr>
    </w:p>
    <w:p w:rsidR="00E8092D" w:rsidRPr="00986C44" w:rsidRDefault="00E8092D" w:rsidP="00E8092D">
      <w:pPr>
        <w:jc w:val="center"/>
        <w:rPr>
          <w:rFonts w:asciiTheme="majorHAnsi" w:hAnsiTheme="majorHAnsi" w:cs="Times New Roman"/>
          <w:b/>
          <w:bCs/>
          <w:color w:val="000000"/>
        </w:rPr>
      </w:pPr>
    </w:p>
    <w:p w:rsidR="00E8092D" w:rsidRPr="00E8092D" w:rsidRDefault="00E8092D" w:rsidP="00E8092D">
      <w:pPr>
        <w:ind w:right="29"/>
        <w:jc w:val="center"/>
        <w:rPr>
          <w:rFonts w:asciiTheme="majorHAnsi" w:hAnsiTheme="majorHAnsi" w:cs="Times New Roman"/>
          <w:b/>
          <w:smallCaps/>
          <w:sz w:val="36"/>
          <w:szCs w:val="24"/>
        </w:rPr>
      </w:pPr>
      <w:r w:rsidRPr="00E8092D">
        <w:rPr>
          <w:rFonts w:asciiTheme="majorHAnsi" w:hAnsiTheme="majorHAnsi" w:cs="Times New Roman"/>
          <w:b/>
          <w:smallCaps/>
          <w:sz w:val="36"/>
          <w:szCs w:val="24"/>
        </w:rPr>
        <w:t xml:space="preserve">Inequalities in Art and Culture: Artistic Labour in the UK during </w:t>
      </w:r>
      <w:r>
        <w:rPr>
          <w:rFonts w:asciiTheme="majorHAnsi" w:hAnsiTheme="majorHAnsi" w:cs="Times New Roman"/>
          <w:b/>
          <w:smallCaps/>
          <w:sz w:val="36"/>
          <w:szCs w:val="24"/>
        </w:rPr>
        <w:t xml:space="preserve">the Recent </w:t>
      </w:r>
      <w:r w:rsidRPr="00E8092D">
        <w:rPr>
          <w:rFonts w:asciiTheme="majorHAnsi" w:hAnsiTheme="majorHAnsi" w:cs="Times New Roman"/>
          <w:b/>
          <w:smallCaps/>
          <w:sz w:val="36"/>
          <w:szCs w:val="24"/>
        </w:rPr>
        <w:t>Economic Crisis</w:t>
      </w:r>
    </w:p>
    <w:p w:rsidR="00E8092D" w:rsidRDefault="00E8092D" w:rsidP="00E8092D">
      <w:pPr>
        <w:ind w:right="29"/>
        <w:jc w:val="center"/>
        <w:rPr>
          <w:rFonts w:asciiTheme="majorHAnsi" w:hAnsiTheme="majorHAnsi" w:cs="Times New Roman"/>
          <w:color w:val="000000"/>
        </w:rPr>
      </w:pPr>
    </w:p>
    <w:p w:rsidR="00E8092D" w:rsidRDefault="00E8092D" w:rsidP="00E8092D">
      <w:pPr>
        <w:ind w:right="29"/>
        <w:jc w:val="center"/>
        <w:rPr>
          <w:rFonts w:asciiTheme="majorHAnsi" w:hAnsiTheme="majorHAnsi" w:cs="Times New Roman"/>
          <w:color w:val="000000"/>
        </w:rPr>
      </w:pPr>
    </w:p>
    <w:p w:rsidR="00E8092D" w:rsidRPr="00986C44" w:rsidRDefault="00E8092D" w:rsidP="00E8092D">
      <w:pPr>
        <w:ind w:right="29"/>
        <w:jc w:val="center"/>
        <w:rPr>
          <w:rFonts w:asciiTheme="majorHAnsi" w:hAnsiTheme="majorHAnsi" w:cs="Times New Roman"/>
          <w:color w:val="000000"/>
        </w:rPr>
      </w:pPr>
    </w:p>
    <w:p w:rsidR="00E8092D" w:rsidRPr="00784B8A" w:rsidRDefault="00E8092D" w:rsidP="00E8092D">
      <w:pPr>
        <w:ind w:right="29"/>
        <w:jc w:val="center"/>
        <w:rPr>
          <w:rFonts w:asciiTheme="majorHAnsi" w:hAnsiTheme="majorHAnsi" w:cs="Times New Roman"/>
          <w:b/>
          <w:color w:val="000000"/>
          <w:sz w:val="24"/>
        </w:rPr>
      </w:pPr>
      <w:r w:rsidRPr="00784B8A">
        <w:rPr>
          <w:rFonts w:asciiTheme="majorHAnsi" w:hAnsiTheme="majorHAnsi" w:cs="Times New Roman"/>
          <w:b/>
          <w:color w:val="000000"/>
          <w:sz w:val="24"/>
        </w:rPr>
        <w:t>Marios Samdanis</w:t>
      </w:r>
    </w:p>
    <w:p w:rsidR="00E8092D" w:rsidRPr="00784B8A" w:rsidRDefault="00E8092D" w:rsidP="00E8092D">
      <w:pPr>
        <w:ind w:right="29"/>
        <w:jc w:val="center"/>
        <w:rPr>
          <w:rFonts w:asciiTheme="majorHAnsi" w:hAnsiTheme="majorHAnsi" w:cs="Times New Roman"/>
          <w:color w:val="000000"/>
          <w:sz w:val="24"/>
        </w:rPr>
      </w:pPr>
      <w:r>
        <w:rPr>
          <w:rFonts w:asciiTheme="majorHAnsi" w:hAnsiTheme="majorHAnsi" w:cs="Times New Roman"/>
          <w:color w:val="000000"/>
          <w:sz w:val="24"/>
        </w:rPr>
        <w:t>Sotheby’s Institute of Art, London</w:t>
      </w:r>
    </w:p>
    <w:p w:rsidR="00E8092D" w:rsidRPr="00784B8A" w:rsidRDefault="00E8092D" w:rsidP="00E8092D">
      <w:pPr>
        <w:jc w:val="center"/>
        <w:rPr>
          <w:rFonts w:asciiTheme="majorHAnsi" w:hAnsiTheme="majorHAnsi" w:cs="Times New Roman"/>
          <w:color w:val="000000"/>
          <w:sz w:val="24"/>
        </w:rPr>
      </w:pPr>
      <w:r w:rsidRPr="00784B8A">
        <w:rPr>
          <w:rFonts w:asciiTheme="majorHAnsi" w:hAnsiTheme="majorHAnsi" w:cs="Times New Roman"/>
          <w:color w:val="000000"/>
          <w:sz w:val="24"/>
        </w:rPr>
        <w:t>E-mail:</w:t>
      </w:r>
      <w:r w:rsidRPr="00784B8A">
        <w:rPr>
          <w:rStyle w:val="apple-converted-space"/>
          <w:rFonts w:asciiTheme="majorHAnsi" w:hAnsiTheme="majorHAnsi" w:cs="Times New Roman"/>
          <w:color w:val="000000"/>
          <w:sz w:val="24"/>
        </w:rPr>
        <w:t> </w:t>
      </w:r>
      <w:r>
        <w:rPr>
          <w:rFonts w:asciiTheme="majorHAnsi" w:hAnsiTheme="majorHAnsi" w:cs="Times New Roman"/>
          <w:color w:val="000000"/>
          <w:sz w:val="24"/>
        </w:rPr>
        <w:t>m.samdanis@sothebysinstitute.com</w:t>
      </w:r>
    </w:p>
    <w:p w:rsidR="00E8092D" w:rsidRDefault="00E8092D" w:rsidP="00E8092D">
      <w:pPr>
        <w:ind w:right="29"/>
        <w:jc w:val="center"/>
        <w:rPr>
          <w:rFonts w:asciiTheme="majorHAnsi" w:hAnsiTheme="majorHAnsi" w:cs="Times New Roman"/>
          <w:b/>
          <w:color w:val="000000"/>
          <w:sz w:val="24"/>
        </w:rPr>
      </w:pPr>
    </w:p>
    <w:p w:rsidR="00E8092D" w:rsidRPr="00784B8A" w:rsidRDefault="00E8092D" w:rsidP="00E8092D">
      <w:pPr>
        <w:ind w:right="29"/>
        <w:jc w:val="center"/>
        <w:rPr>
          <w:rFonts w:asciiTheme="majorHAnsi" w:hAnsiTheme="majorHAnsi" w:cs="Times New Roman"/>
          <w:b/>
          <w:color w:val="000000"/>
          <w:sz w:val="24"/>
        </w:rPr>
      </w:pPr>
      <w:r w:rsidRPr="00784B8A">
        <w:rPr>
          <w:rFonts w:asciiTheme="majorHAnsi" w:hAnsiTheme="majorHAnsi" w:cs="Times New Roman"/>
          <w:b/>
          <w:color w:val="000000"/>
          <w:sz w:val="24"/>
        </w:rPr>
        <w:t>Soo Hee Lee</w:t>
      </w:r>
    </w:p>
    <w:p w:rsidR="00E8092D" w:rsidRPr="00784B8A" w:rsidRDefault="00E8092D" w:rsidP="00E8092D">
      <w:pPr>
        <w:ind w:right="29"/>
        <w:jc w:val="center"/>
        <w:rPr>
          <w:rFonts w:asciiTheme="majorHAnsi" w:hAnsiTheme="majorHAnsi" w:cs="Times New Roman"/>
          <w:color w:val="000000"/>
          <w:sz w:val="24"/>
        </w:rPr>
      </w:pPr>
      <w:r w:rsidRPr="00784B8A">
        <w:rPr>
          <w:rFonts w:asciiTheme="majorHAnsi" w:hAnsiTheme="majorHAnsi" w:cs="Times New Roman"/>
          <w:color w:val="000000"/>
          <w:sz w:val="24"/>
        </w:rPr>
        <w:t>Kent Business School</w:t>
      </w:r>
    </w:p>
    <w:p w:rsidR="00E8092D" w:rsidRPr="00784B8A" w:rsidRDefault="00E8092D" w:rsidP="00E8092D">
      <w:pPr>
        <w:ind w:right="29"/>
        <w:jc w:val="center"/>
        <w:rPr>
          <w:rFonts w:asciiTheme="majorHAnsi" w:hAnsiTheme="majorHAnsi" w:cs="Times New Roman"/>
          <w:color w:val="000000"/>
          <w:sz w:val="24"/>
        </w:rPr>
      </w:pPr>
      <w:r w:rsidRPr="00784B8A">
        <w:rPr>
          <w:rFonts w:asciiTheme="majorHAnsi" w:hAnsiTheme="majorHAnsi" w:cs="Times New Roman"/>
          <w:color w:val="000000"/>
          <w:sz w:val="24"/>
        </w:rPr>
        <w:t>University of Kent</w:t>
      </w:r>
    </w:p>
    <w:p w:rsidR="00E8092D" w:rsidRPr="00784B8A" w:rsidRDefault="00E8092D" w:rsidP="00E8092D">
      <w:pPr>
        <w:jc w:val="center"/>
        <w:rPr>
          <w:rFonts w:asciiTheme="majorHAnsi" w:hAnsiTheme="majorHAnsi" w:cs="Times New Roman"/>
          <w:color w:val="000000"/>
          <w:sz w:val="24"/>
        </w:rPr>
      </w:pPr>
      <w:r w:rsidRPr="00784B8A">
        <w:rPr>
          <w:rFonts w:asciiTheme="majorHAnsi" w:hAnsiTheme="majorHAnsi" w:cs="Times New Roman"/>
          <w:color w:val="000000"/>
          <w:sz w:val="24"/>
        </w:rPr>
        <w:t>E-mail:</w:t>
      </w:r>
      <w:r w:rsidRPr="00784B8A">
        <w:rPr>
          <w:rStyle w:val="apple-converted-space"/>
          <w:rFonts w:asciiTheme="majorHAnsi" w:hAnsiTheme="majorHAnsi" w:cs="Times New Roman"/>
          <w:color w:val="000000"/>
          <w:sz w:val="24"/>
        </w:rPr>
        <w:t> </w:t>
      </w:r>
      <w:r w:rsidRPr="00784B8A">
        <w:rPr>
          <w:rFonts w:asciiTheme="majorHAnsi" w:hAnsiTheme="majorHAnsi" w:cs="Times New Roman"/>
          <w:color w:val="000000"/>
          <w:sz w:val="24"/>
        </w:rPr>
        <w:t>s.h.lee@kent.ac.uk</w:t>
      </w:r>
    </w:p>
    <w:p w:rsidR="00E8092D" w:rsidRPr="00F24D32" w:rsidRDefault="00E8092D" w:rsidP="00E8092D">
      <w:pPr>
        <w:ind w:right="29"/>
        <w:jc w:val="center"/>
        <w:rPr>
          <w:rFonts w:asciiTheme="majorHAnsi" w:hAnsiTheme="majorHAnsi" w:cs="Times New Roman"/>
          <w:color w:val="000000"/>
          <w:sz w:val="24"/>
        </w:rPr>
      </w:pPr>
      <w:r w:rsidRPr="00784B8A">
        <w:rPr>
          <w:rFonts w:asciiTheme="majorHAnsi" w:hAnsiTheme="majorHAnsi" w:cs="Times New Roman"/>
          <w:color w:val="000000"/>
          <w:sz w:val="24"/>
        </w:rPr>
        <w:t> </w:t>
      </w:r>
    </w:p>
    <w:p w:rsidR="00E8092D" w:rsidRPr="00986C44" w:rsidRDefault="00E8092D" w:rsidP="00E8092D">
      <w:pPr>
        <w:spacing w:before="240" w:line="360" w:lineRule="auto"/>
        <w:rPr>
          <w:rFonts w:asciiTheme="majorHAnsi" w:hAnsiTheme="majorHAnsi" w:cs="Times New Roman"/>
          <w:color w:val="000000"/>
          <w:sz w:val="27"/>
          <w:szCs w:val="27"/>
        </w:rPr>
      </w:pPr>
    </w:p>
    <w:p w:rsidR="00E8092D" w:rsidRPr="00986C44" w:rsidRDefault="00E8092D" w:rsidP="00E8092D">
      <w:pPr>
        <w:spacing w:before="240" w:line="360" w:lineRule="auto"/>
        <w:jc w:val="center"/>
        <w:rPr>
          <w:rFonts w:asciiTheme="majorHAnsi" w:hAnsiTheme="majorHAnsi" w:cs="Times New Roman"/>
          <w:color w:val="000000"/>
          <w:sz w:val="27"/>
          <w:szCs w:val="27"/>
        </w:rPr>
      </w:pPr>
      <w:r>
        <w:rPr>
          <w:rFonts w:asciiTheme="majorHAnsi" w:hAnsiTheme="majorHAnsi" w:cs="Times New Roman"/>
          <w:color w:val="000000"/>
          <w:sz w:val="27"/>
          <w:szCs w:val="27"/>
        </w:rPr>
        <w:t>1</w:t>
      </w:r>
      <w:r>
        <w:rPr>
          <w:rFonts w:asciiTheme="majorHAnsi" w:hAnsiTheme="majorHAnsi" w:cs="Times New Roman"/>
          <w:color w:val="000000"/>
          <w:sz w:val="27"/>
          <w:szCs w:val="27"/>
        </w:rPr>
        <w:t>5</w:t>
      </w:r>
      <w:r w:rsidRPr="00986C44">
        <w:rPr>
          <w:rFonts w:asciiTheme="majorHAnsi" w:hAnsiTheme="majorHAnsi" w:cs="Times New Roman"/>
          <w:color w:val="000000"/>
          <w:sz w:val="27"/>
          <w:szCs w:val="27"/>
          <w:vertAlign w:val="superscript"/>
        </w:rPr>
        <w:t>th</w:t>
      </w:r>
      <w:r w:rsidRPr="00986C44">
        <w:rPr>
          <w:rFonts w:asciiTheme="majorHAnsi" w:hAnsiTheme="majorHAnsi" w:cs="Times New Roman"/>
          <w:color w:val="000000"/>
          <w:sz w:val="27"/>
          <w:szCs w:val="27"/>
        </w:rPr>
        <w:t xml:space="preserve"> </w:t>
      </w:r>
      <w:r>
        <w:rPr>
          <w:rFonts w:asciiTheme="majorHAnsi" w:hAnsiTheme="majorHAnsi" w:cs="Times New Roman"/>
          <w:color w:val="000000"/>
          <w:sz w:val="27"/>
          <w:szCs w:val="27"/>
        </w:rPr>
        <w:t>April 2015</w:t>
      </w:r>
    </w:p>
    <w:p w:rsidR="00531930" w:rsidRDefault="00357738" w:rsidP="00F63E07">
      <w:pPr>
        <w:tabs>
          <w:tab w:val="left" w:pos="5460"/>
        </w:tabs>
        <w:spacing w:before="240" w:after="0" w:line="360" w:lineRule="auto"/>
        <w:jc w:val="both"/>
        <w:rPr>
          <w:rFonts w:ascii="Times New Roman" w:hAnsi="Times New Roman" w:cs="Times New Roman"/>
          <w:sz w:val="24"/>
        </w:rPr>
      </w:pPr>
      <w:r w:rsidRPr="00F63E07">
        <w:rPr>
          <w:rFonts w:ascii="Times New Roman" w:hAnsi="Times New Roman" w:cs="Times New Roman"/>
          <w:sz w:val="24"/>
        </w:rPr>
        <w:lastRenderedPageBreak/>
        <w:t xml:space="preserve">The recent </w:t>
      </w:r>
      <w:r w:rsidR="002F3191" w:rsidRPr="00F63E07">
        <w:rPr>
          <w:rFonts w:ascii="Times New Roman" w:hAnsi="Times New Roman" w:cs="Times New Roman"/>
          <w:sz w:val="24"/>
        </w:rPr>
        <w:t xml:space="preserve">Culture </w:t>
      </w:r>
      <w:r w:rsidR="00395184" w:rsidRPr="00F63E07">
        <w:rPr>
          <w:rFonts w:ascii="Times New Roman" w:hAnsi="Times New Roman" w:cs="Times New Roman"/>
          <w:sz w:val="24"/>
        </w:rPr>
        <w:t>W</w:t>
      </w:r>
      <w:r w:rsidRPr="00F63E07">
        <w:rPr>
          <w:rFonts w:ascii="Times New Roman" w:hAnsi="Times New Roman" w:cs="Times New Roman"/>
          <w:sz w:val="24"/>
        </w:rPr>
        <w:t xml:space="preserve">hite </w:t>
      </w:r>
      <w:r w:rsidR="00395184" w:rsidRPr="00F63E07">
        <w:rPr>
          <w:rFonts w:ascii="Times New Roman" w:hAnsi="Times New Roman" w:cs="Times New Roman"/>
          <w:sz w:val="24"/>
        </w:rPr>
        <w:t>P</w:t>
      </w:r>
      <w:r w:rsidRPr="00F63E07">
        <w:rPr>
          <w:rFonts w:ascii="Times New Roman" w:hAnsi="Times New Roman" w:cs="Times New Roman"/>
          <w:sz w:val="24"/>
        </w:rPr>
        <w:t xml:space="preserve">aper of the Department </w:t>
      </w:r>
      <w:r w:rsidR="002F3191" w:rsidRPr="00F63E07">
        <w:rPr>
          <w:rFonts w:ascii="Times New Roman" w:hAnsi="Times New Roman" w:cs="Times New Roman"/>
          <w:sz w:val="24"/>
        </w:rPr>
        <w:t>for Culture, Media and Sport published in March 2016</w:t>
      </w:r>
      <w:r w:rsidRPr="00F63E07">
        <w:rPr>
          <w:rFonts w:ascii="Times New Roman" w:hAnsi="Times New Roman" w:cs="Times New Roman"/>
          <w:sz w:val="24"/>
        </w:rPr>
        <w:t xml:space="preserve"> provide</w:t>
      </w:r>
      <w:r w:rsidR="003E6471">
        <w:rPr>
          <w:rFonts w:ascii="Times New Roman" w:hAnsi="Times New Roman" w:cs="Times New Roman"/>
          <w:sz w:val="24"/>
        </w:rPr>
        <w:t>s</w:t>
      </w:r>
      <w:r w:rsidRPr="00F63E07">
        <w:rPr>
          <w:rFonts w:ascii="Times New Roman" w:hAnsi="Times New Roman" w:cs="Times New Roman"/>
          <w:sz w:val="24"/>
        </w:rPr>
        <w:t xml:space="preserve"> the vision of cultural policy in the UK</w:t>
      </w:r>
      <w:r w:rsidR="002F3191" w:rsidRPr="00F63E07">
        <w:rPr>
          <w:rFonts w:ascii="Times New Roman" w:hAnsi="Times New Roman" w:cs="Times New Roman"/>
          <w:sz w:val="24"/>
        </w:rPr>
        <w:t xml:space="preserve">, which revolves around the themes of diversity in terms of employment and audience participation. This report is largely received as a response to the increasing pressures within the creative industries regarding inequalities in terms of gender (around 38% of total employees are women), </w:t>
      </w:r>
      <w:r w:rsidR="00531930">
        <w:rPr>
          <w:rFonts w:ascii="Times New Roman" w:hAnsi="Times New Roman" w:cs="Times New Roman"/>
          <w:sz w:val="24"/>
        </w:rPr>
        <w:t>BAME (</w:t>
      </w:r>
      <w:r w:rsidR="002F3191" w:rsidRPr="00F63E07">
        <w:rPr>
          <w:rFonts w:ascii="Times New Roman" w:hAnsi="Times New Roman" w:cs="Times New Roman"/>
          <w:sz w:val="24"/>
        </w:rPr>
        <w:t>Black, Asian and Middle East</w:t>
      </w:r>
      <w:r w:rsidR="00531930">
        <w:rPr>
          <w:rFonts w:ascii="Times New Roman" w:hAnsi="Times New Roman" w:cs="Times New Roman"/>
          <w:sz w:val="24"/>
        </w:rPr>
        <w:t>)</w:t>
      </w:r>
      <w:r w:rsidR="002F3191" w:rsidRPr="00F63E07">
        <w:rPr>
          <w:rFonts w:ascii="Times New Roman" w:hAnsi="Times New Roman" w:cs="Times New Roman"/>
          <w:sz w:val="24"/>
        </w:rPr>
        <w:t xml:space="preserve"> employees and the high education background </w:t>
      </w:r>
      <w:r w:rsidR="00FD0AC7">
        <w:rPr>
          <w:rFonts w:ascii="Times New Roman" w:hAnsi="Times New Roman" w:cs="Times New Roman"/>
          <w:sz w:val="24"/>
        </w:rPr>
        <w:t>required for the majority of Creative Economy jobs</w:t>
      </w:r>
      <w:r w:rsidR="002F3191" w:rsidRPr="00F63E07">
        <w:rPr>
          <w:rFonts w:ascii="Times New Roman" w:hAnsi="Times New Roman" w:cs="Times New Roman"/>
          <w:sz w:val="24"/>
        </w:rPr>
        <w:t xml:space="preserve">. </w:t>
      </w:r>
      <w:r w:rsidR="00531930">
        <w:rPr>
          <w:rFonts w:ascii="Times New Roman" w:hAnsi="Times New Roman" w:cs="Times New Roman"/>
          <w:sz w:val="24"/>
        </w:rPr>
        <w:t>Nevertheless</w:t>
      </w:r>
      <w:r w:rsidRPr="00F63E07">
        <w:rPr>
          <w:rFonts w:ascii="Times New Roman" w:hAnsi="Times New Roman" w:cs="Times New Roman"/>
          <w:sz w:val="24"/>
        </w:rPr>
        <w:t>, a more careful investigation within each of these industries reveals a different story in terms of gender inequalities</w:t>
      </w:r>
      <w:r w:rsidR="00395184" w:rsidRPr="00F63E07">
        <w:rPr>
          <w:rFonts w:ascii="Times New Roman" w:hAnsi="Times New Roman" w:cs="Times New Roman"/>
          <w:sz w:val="24"/>
        </w:rPr>
        <w:t xml:space="preserve"> which vary </w:t>
      </w:r>
      <w:r w:rsidR="00531930">
        <w:rPr>
          <w:rFonts w:ascii="Times New Roman" w:hAnsi="Times New Roman" w:cs="Times New Roman"/>
          <w:sz w:val="24"/>
        </w:rPr>
        <w:t xml:space="preserve">significantly </w:t>
      </w:r>
      <w:r w:rsidR="00395184" w:rsidRPr="00F63E07">
        <w:rPr>
          <w:rFonts w:ascii="Times New Roman" w:hAnsi="Times New Roman" w:cs="Times New Roman"/>
          <w:sz w:val="24"/>
        </w:rPr>
        <w:t>across the creative industries</w:t>
      </w:r>
      <w:r w:rsidRPr="00F63E07">
        <w:rPr>
          <w:rFonts w:ascii="Times New Roman" w:hAnsi="Times New Roman" w:cs="Times New Roman"/>
          <w:sz w:val="24"/>
        </w:rPr>
        <w:t xml:space="preserve">, </w:t>
      </w:r>
      <w:r w:rsidR="00531930">
        <w:rPr>
          <w:rFonts w:ascii="Times New Roman" w:hAnsi="Times New Roman" w:cs="Times New Roman"/>
          <w:sz w:val="24"/>
        </w:rPr>
        <w:t xml:space="preserve">while the only </w:t>
      </w:r>
      <w:r w:rsidR="003E6471">
        <w:rPr>
          <w:rFonts w:ascii="Times New Roman" w:hAnsi="Times New Roman" w:cs="Times New Roman"/>
          <w:sz w:val="24"/>
        </w:rPr>
        <w:t>persistent</w:t>
      </w:r>
      <w:r w:rsidR="00531930">
        <w:rPr>
          <w:rFonts w:ascii="Times New Roman" w:hAnsi="Times New Roman" w:cs="Times New Roman"/>
          <w:sz w:val="24"/>
        </w:rPr>
        <w:t xml:space="preserve"> source of inequality is the </w:t>
      </w:r>
      <w:r w:rsidR="003E6471">
        <w:rPr>
          <w:rFonts w:ascii="Times New Roman" w:hAnsi="Times New Roman" w:cs="Times New Roman"/>
          <w:sz w:val="24"/>
        </w:rPr>
        <w:t xml:space="preserve">high </w:t>
      </w:r>
      <w:r w:rsidR="00531930">
        <w:rPr>
          <w:rFonts w:ascii="Times New Roman" w:hAnsi="Times New Roman" w:cs="Times New Roman"/>
          <w:sz w:val="24"/>
        </w:rPr>
        <w:t xml:space="preserve">level of education </w:t>
      </w:r>
      <w:r w:rsidR="003E6471">
        <w:rPr>
          <w:rFonts w:ascii="Times New Roman" w:hAnsi="Times New Roman" w:cs="Times New Roman"/>
          <w:sz w:val="24"/>
        </w:rPr>
        <w:t>required for jobs in the creative industries</w:t>
      </w:r>
      <w:r w:rsidR="00531930">
        <w:rPr>
          <w:rFonts w:ascii="Times New Roman" w:hAnsi="Times New Roman" w:cs="Times New Roman"/>
          <w:sz w:val="24"/>
        </w:rPr>
        <w:t xml:space="preserve"> (</w:t>
      </w:r>
      <w:r w:rsidR="00FD0AC7">
        <w:rPr>
          <w:rFonts w:ascii="Times New Roman" w:hAnsi="Times New Roman" w:cs="Times New Roman"/>
          <w:sz w:val="24"/>
        </w:rPr>
        <w:t>Tables 1 &amp; 2</w:t>
      </w:r>
      <w:r w:rsidR="004F250B">
        <w:rPr>
          <w:rFonts w:ascii="Times New Roman" w:hAnsi="Times New Roman" w:cs="Times New Roman"/>
          <w:sz w:val="24"/>
        </w:rPr>
        <w:t>;</w:t>
      </w:r>
      <w:r w:rsidR="00FD0AC7">
        <w:rPr>
          <w:rFonts w:ascii="Times New Roman" w:hAnsi="Times New Roman" w:cs="Times New Roman"/>
          <w:sz w:val="24"/>
        </w:rPr>
        <w:t xml:space="preserve"> </w:t>
      </w:r>
      <w:r w:rsidR="00531930">
        <w:rPr>
          <w:rFonts w:ascii="Times New Roman" w:hAnsi="Times New Roman" w:cs="Times New Roman"/>
          <w:sz w:val="24"/>
        </w:rPr>
        <w:t>DCMS, 2015).</w:t>
      </w:r>
    </w:p>
    <w:p w:rsidR="00FD0AC7" w:rsidRPr="00FD0AC7" w:rsidRDefault="00FD0AC7" w:rsidP="00FD0AC7">
      <w:pPr>
        <w:tabs>
          <w:tab w:val="left" w:pos="5460"/>
        </w:tabs>
        <w:spacing w:before="240" w:after="0" w:line="360" w:lineRule="auto"/>
        <w:jc w:val="center"/>
        <w:rPr>
          <w:rFonts w:ascii="Times New Roman" w:hAnsi="Times New Roman" w:cs="Times New Roman"/>
          <w:b/>
          <w:i/>
          <w:sz w:val="24"/>
        </w:rPr>
      </w:pPr>
      <w:r w:rsidRPr="00FD0AC7">
        <w:rPr>
          <w:rFonts w:ascii="Times New Roman" w:hAnsi="Times New Roman" w:cs="Times New Roman"/>
          <w:b/>
          <w:i/>
          <w:sz w:val="24"/>
        </w:rPr>
        <w:t>Tables 1 &amp; 2</w:t>
      </w:r>
    </w:p>
    <w:p w:rsidR="00483904" w:rsidRPr="00F63E07" w:rsidRDefault="00395184" w:rsidP="00F63E07">
      <w:pPr>
        <w:tabs>
          <w:tab w:val="left" w:pos="5460"/>
        </w:tabs>
        <w:spacing w:before="240" w:after="0" w:line="360" w:lineRule="auto"/>
        <w:jc w:val="both"/>
        <w:rPr>
          <w:rFonts w:ascii="Times New Roman" w:hAnsi="Times New Roman" w:cs="Times New Roman"/>
          <w:sz w:val="24"/>
        </w:rPr>
      </w:pPr>
      <w:r w:rsidRPr="00F63E07">
        <w:rPr>
          <w:rFonts w:ascii="Times New Roman" w:hAnsi="Times New Roman" w:cs="Times New Roman"/>
          <w:sz w:val="24"/>
        </w:rPr>
        <w:t>Diverse findings regarding employment and consumption</w:t>
      </w:r>
      <w:r w:rsidR="002F3191" w:rsidRPr="00F63E07">
        <w:rPr>
          <w:rFonts w:ascii="Times New Roman" w:hAnsi="Times New Roman" w:cs="Times New Roman"/>
          <w:sz w:val="24"/>
        </w:rPr>
        <w:t>/audience participation</w:t>
      </w:r>
      <w:r w:rsidRPr="00F63E07">
        <w:rPr>
          <w:rFonts w:ascii="Times New Roman" w:hAnsi="Times New Roman" w:cs="Times New Roman"/>
          <w:sz w:val="24"/>
        </w:rPr>
        <w:t xml:space="preserve"> across the creative industries requires to zoom in specific ‘industries’ or fields </w:t>
      </w:r>
      <w:r w:rsidR="003E6471">
        <w:rPr>
          <w:rFonts w:ascii="Times New Roman" w:hAnsi="Times New Roman" w:cs="Times New Roman"/>
          <w:sz w:val="24"/>
        </w:rPr>
        <w:t xml:space="preserve">in order </w:t>
      </w:r>
      <w:r w:rsidRPr="00F63E07">
        <w:rPr>
          <w:rFonts w:ascii="Times New Roman" w:hAnsi="Times New Roman" w:cs="Times New Roman"/>
          <w:sz w:val="24"/>
        </w:rPr>
        <w:t>to understand inequalities</w:t>
      </w:r>
      <w:r w:rsidR="003E6471">
        <w:rPr>
          <w:rFonts w:ascii="Times New Roman" w:hAnsi="Times New Roman" w:cs="Times New Roman"/>
          <w:sz w:val="24"/>
        </w:rPr>
        <w:t xml:space="preserve"> better</w:t>
      </w:r>
      <w:r w:rsidRPr="00F63E07">
        <w:rPr>
          <w:rFonts w:ascii="Times New Roman" w:hAnsi="Times New Roman" w:cs="Times New Roman"/>
          <w:sz w:val="24"/>
        </w:rPr>
        <w:t>. For this reason, this research focuses on the field of visual arts, including roles such as artists, art dealers, curators, and conservators, as well as managerial roles that support the operations of galleries</w:t>
      </w:r>
      <w:r w:rsidR="003E6471">
        <w:rPr>
          <w:rFonts w:ascii="Times New Roman" w:hAnsi="Times New Roman" w:cs="Times New Roman"/>
          <w:sz w:val="24"/>
        </w:rPr>
        <w:t>, auction houses</w:t>
      </w:r>
      <w:r w:rsidRPr="00F63E07">
        <w:rPr>
          <w:rFonts w:ascii="Times New Roman" w:hAnsi="Times New Roman" w:cs="Times New Roman"/>
          <w:sz w:val="24"/>
        </w:rPr>
        <w:t xml:space="preserve"> and museums. The aim of this paper is to investigate the employment condition</w:t>
      </w:r>
      <w:r w:rsidR="002F3191" w:rsidRPr="00F63E07">
        <w:rPr>
          <w:rFonts w:ascii="Times New Roman" w:hAnsi="Times New Roman" w:cs="Times New Roman"/>
          <w:sz w:val="24"/>
        </w:rPr>
        <w:t>s</w:t>
      </w:r>
      <w:r w:rsidRPr="00F63E07">
        <w:rPr>
          <w:rFonts w:ascii="Times New Roman" w:hAnsi="Times New Roman" w:cs="Times New Roman"/>
          <w:sz w:val="24"/>
        </w:rPr>
        <w:t xml:space="preserve"> of </w:t>
      </w:r>
      <w:r w:rsidR="002F3191" w:rsidRPr="00F63E07">
        <w:rPr>
          <w:rFonts w:ascii="Times New Roman" w:hAnsi="Times New Roman" w:cs="Times New Roman"/>
          <w:sz w:val="24"/>
        </w:rPr>
        <w:t>art</w:t>
      </w:r>
      <w:r w:rsidRPr="00F63E07">
        <w:rPr>
          <w:rFonts w:ascii="Times New Roman" w:hAnsi="Times New Roman" w:cs="Times New Roman"/>
          <w:sz w:val="24"/>
        </w:rPr>
        <w:t xml:space="preserve"> </w:t>
      </w:r>
      <w:r w:rsidR="001F1E2D" w:rsidRPr="00F63E07">
        <w:rPr>
          <w:rFonts w:ascii="Times New Roman" w:hAnsi="Times New Roman" w:cs="Times New Roman"/>
          <w:sz w:val="24"/>
        </w:rPr>
        <w:t>graduates</w:t>
      </w:r>
      <w:r w:rsidRPr="00F63E07">
        <w:rPr>
          <w:rFonts w:ascii="Times New Roman" w:hAnsi="Times New Roman" w:cs="Times New Roman"/>
          <w:sz w:val="24"/>
        </w:rPr>
        <w:t xml:space="preserve"> within the recent economic crisis in the UK</w:t>
      </w:r>
      <w:r w:rsidR="00B76786" w:rsidRPr="00F63E07">
        <w:rPr>
          <w:rFonts w:ascii="Times New Roman" w:hAnsi="Times New Roman" w:cs="Times New Roman"/>
          <w:sz w:val="24"/>
        </w:rPr>
        <w:t xml:space="preserve"> (Bridgstock &amp; Cunningham, 2016)</w:t>
      </w:r>
      <w:r w:rsidRPr="00F63E07">
        <w:rPr>
          <w:rFonts w:ascii="Times New Roman" w:hAnsi="Times New Roman" w:cs="Times New Roman"/>
          <w:sz w:val="24"/>
        </w:rPr>
        <w:t xml:space="preserve">. </w:t>
      </w:r>
      <w:r w:rsidR="002F3191" w:rsidRPr="00F63E07">
        <w:rPr>
          <w:rFonts w:ascii="Times New Roman" w:hAnsi="Times New Roman" w:cs="Times New Roman"/>
          <w:sz w:val="24"/>
        </w:rPr>
        <w:t>It is interesting to investigate the field of visual arts, because on the surface it does not seem unequal. Gender representation is almost divided equally across genders, and BAME employment has an increasing tendency</w:t>
      </w:r>
      <w:r w:rsidR="005B2681" w:rsidRPr="00F63E07">
        <w:rPr>
          <w:rFonts w:ascii="Times New Roman" w:hAnsi="Times New Roman" w:cs="Times New Roman"/>
          <w:sz w:val="24"/>
        </w:rPr>
        <w:t xml:space="preserve"> </w:t>
      </w:r>
      <w:r w:rsidR="005B2681" w:rsidRPr="00F63E07">
        <w:rPr>
          <w:rFonts w:ascii="Times New Roman" w:hAnsi="Times New Roman" w:cs="Times New Roman"/>
          <w:sz w:val="24"/>
        </w:rPr>
        <w:t>(DCMS, 2015, p.15)</w:t>
      </w:r>
      <w:r w:rsidR="002F3191" w:rsidRPr="00F63E07">
        <w:rPr>
          <w:rFonts w:ascii="Times New Roman" w:hAnsi="Times New Roman" w:cs="Times New Roman"/>
          <w:sz w:val="24"/>
        </w:rPr>
        <w:t xml:space="preserve">. Only the fact the employees </w:t>
      </w:r>
      <w:r w:rsidR="003E6471">
        <w:rPr>
          <w:rFonts w:ascii="Times New Roman" w:hAnsi="Times New Roman" w:cs="Times New Roman"/>
          <w:sz w:val="24"/>
        </w:rPr>
        <w:t xml:space="preserve">who have </w:t>
      </w:r>
      <w:r w:rsidR="002F3191" w:rsidRPr="00F63E07">
        <w:rPr>
          <w:rFonts w:ascii="Times New Roman" w:hAnsi="Times New Roman" w:cs="Times New Roman"/>
          <w:sz w:val="24"/>
        </w:rPr>
        <w:t xml:space="preserve">a higher educational background </w:t>
      </w:r>
      <w:proofErr w:type="gramStart"/>
      <w:r w:rsidR="002F3191" w:rsidRPr="00F63E07">
        <w:rPr>
          <w:rFonts w:ascii="Times New Roman" w:hAnsi="Times New Roman" w:cs="Times New Roman"/>
          <w:sz w:val="24"/>
        </w:rPr>
        <w:t>verifies</w:t>
      </w:r>
      <w:proofErr w:type="gramEnd"/>
      <w:r w:rsidR="002F3191" w:rsidRPr="00F63E07">
        <w:rPr>
          <w:rFonts w:ascii="Times New Roman" w:hAnsi="Times New Roman" w:cs="Times New Roman"/>
          <w:sz w:val="24"/>
        </w:rPr>
        <w:t xml:space="preserve"> a trend that exists across almost all the creative industries</w:t>
      </w:r>
      <w:r w:rsidR="005B2681" w:rsidRPr="00F63E07">
        <w:rPr>
          <w:rFonts w:ascii="Times New Roman" w:hAnsi="Times New Roman" w:cs="Times New Roman"/>
          <w:sz w:val="24"/>
        </w:rPr>
        <w:t xml:space="preserve"> (DCMS, 2015, p.15)</w:t>
      </w:r>
      <w:r w:rsidR="002F3191" w:rsidRPr="00F63E07">
        <w:rPr>
          <w:rFonts w:ascii="Times New Roman" w:hAnsi="Times New Roman" w:cs="Times New Roman"/>
          <w:sz w:val="24"/>
        </w:rPr>
        <w:t>. Do these findings indicate that the field of visual arts provides equal opportunities?</w:t>
      </w:r>
    </w:p>
    <w:p w:rsidR="00763209" w:rsidRDefault="00DA3907" w:rsidP="00763209">
      <w:pPr>
        <w:tabs>
          <w:tab w:val="left" w:pos="5460"/>
        </w:tabs>
        <w:spacing w:before="240" w:after="0" w:line="360" w:lineRule="auto"/>
        <w:jc w:val="both"/>
        <w:rPr>
          <w:rFonts w:ascii="Times New Roman" w:hAnsi="Times New Roman" w:cs="Times New Roman"/>
          <w:sz w:val="24"/>
        </w:rPr>
      </w:pPr>
      <w:r w:rsidRPr="00F63E07">
        <w:rPr>
          <w:rFonts w:ascii="Times New Roman" w:hAnsi="Times New Roman" w:cs="Times New Roman"/>
          <w:sz w:val="24"/>
        </w:rPr>
        <w:t>As a form of political discourse</w:t>
      </w:r>
      <w:r w:rsidR="00494CE3" w:rsidRPr="00F63E07">
        <w:rPr>
          <w:rFonts w:ascii="Times New Roman" w:hAnsi="Times New Roman" w:cs="Times New Roman"/>
          <w:sz w:val="24"/>
        </w:rPr>
        <w:t>,</w:t>
      </w:r>
      <w:r w:rsidRPr="00F63E07">
        <w:rPr>
          <w:rFonts w:ascii="Times New Roman" w:hAnsi="Times New Roman" w:cs="Times New Roman"/>
          <w:sz w:val="24"/>
        </w:rPr>
        <w:t xml:space="preserve"> the </w:t>
      </w:r>
      <w:r w:rsidR="002F3191" w:rsidRPr="00F63E07">
        <w:rPr>
          <w:rFonts w:ascii="Times New Roman" w:hAnsi="Times New Roman" w:cs="Times New Roman"/>
          <w:sz w:val="24"/>
        </w:rPr>
        <w:t xml:space="preserve">Culture </w:t>
      </w:r>
      <w:r w:rsidRPr="00F63E07">
        <w:rPr>
          <w:rFonts w:ascii="Times New Roman" w:hAnsi="Times New Roman" w:cs="Times New Roman"/>
          <w:sz w:val="24"/>
        </w:rPr>
        <w:t xml:space="preserve">White Paper (DCMS, 2016) celebrates creativity in the UK as being inclusive </w:t>
      </w:r>
      <w:r w:rsidR="00483904" w:rsidRPr="00F63E07">
        <w:rPr>
          <w:rFonts w:ascii="Times New Roman" w:hAnsi="Times New Roman" w:cs="Times New Roman"/>
          <w:sz w:val="24"/>
        </w:rPr>
        <w:t xml:space="preserve">while </w:t>
      </w:r>
      <w:r w:rsidRPr="00F63E07">
        <w:rPr>
          <w:rFonts w:ascii="Times New Roman" w:hAnsi="Times New Roman" w:cs="Times New Roman"/>
          <w:sz w:val="24"/>
        </w:rPr>
        <w:t xml:space="preserve">providing opportunities to creatives and communities to participate in the </w:t>
      </w:r>
      <w:r w:rsidR="00483904" w:rsidRPr="00F63E07">
        <w:rPr>
          <w:rFonts w:ascii="Times New Roman" w:hAnsi="Times New Roman" w:cs="Times New Roman"/>
          <w:sz w:val="24"/>
        </w:rPr>
        <w:t>cultural domain</w:t>
      </w:r>
      <w:r w:rsidRPr="00F63E07">
        <w:rPr>
          <w:rFonts w:ascii="Times New Roman" w:hAnsi="Times New Roman" w:cs="Times New Roman"/>
          <w:sz w:val="24"/>
        </w:rPr>
        <w:t>.</w:t>
      </w:r>
      <w:r w:rsidR="001F1E2D" w:rsidRPr="00F63E07">
        <w:rPr>
          <w:rFonts w:ascii="Times New Roman" w:hAnsi="Times New Roman" w:cs="Times New Roman"/>
          <w:sz w:val="24"/>
        </w:rPr>
        <w:t xml:space="preserve"> This report, </w:t>
      </w:r>
      <w:r w:rsidR="003E6471">
        <w:rPr>
          <w:rFonts w:ascii="Times New Roman" w:hAnsi="Times New Roman" w:cs="Times New Roman"/>
          <w:sz w:val="24"/>
        </w:rPr>
        <w:t>launched</w:t>
      </w:r>
      <w:r w:rsidR="001F1E2D" w:rsidRPr="00F63E07">
        <w:rPr>
          <w:rFonts w:ascii="Times New Roman" w:hAnsi="Times New Roman" w:cs="Times New Roman"/>
          <w:sz w:val="24"/>
        </w:rPr>
        <w:t xml:space="preserve"> by the Conservative party in the UK, is largely considered as a continuation of </w:t>
      </w:r>
      <w:r w:rsidR="00483904" w:rsidRPr="00F63E07">
        <w:rPr>
          <w:rFonts w:ascii="Times New Roman" w:hAnsi="Times New Roman" w:cs="Times New Roman"/>
          <w:sz w:val="24"/>
        </w:rPr>
        <w:t xml:space="preserve">the neo-liberal </w:t>
      </w:r>
      <w:r w:rsidR="001F1E2D" w:rsidRPr="00F63E07">
        <w:rPr>
          <w:rFonts w:ascii="Times New Roman" w:hAnsi="Times New Roman" w:cs="Times New Roman"/>
          <w:sz w:val="24"/>
        </w:rPr>
        <w:t>cultural policies introduced by the Labour party in 1997 (</w:t>
      </w:r>
      <w:r w:rsidR="001F1E2D" w:rsidRPr="00F63E07">
        <w:rPr>
          <w:rFonts w:ascii="Times New Roman" w:hAnsi="Times New Roman" w:cs="Times New Roman"/>
          <w:sz w:val="24"/>
        </w:rPr>
        <w:t>Hesmondhalgh</w:t>
      </w:r>
      <w:r w:rsidR="001F1E2D" w:rsidRPr="00F63E07">
        <w:rPr>
          <w:rFonts w:ascii="Times New Roman" w:hAnsi="Times New Roman" w:cs="Times New Roman"/>
          <w:sz w:val="24"/>
        </w:rPr>
        <w:t xml:space="preserve"> et al., 201</w:t>
      </w:r>
      <w:r w:rsidR="00494CE3" w:rsidRPr="00F63E07">
        <w:rPr>
          <w:rFonts w:ascii="Times New Roman" w:hAnsi="Times New Roman" w:cs="Times New Roman"/>
          <w:sz w:val="24"/>
        </w:rPr>
        <w:t>5)</w:t>
      </w:r>
      <w:r w:rsidR="00483904" w:rsidRPr="00F63E07">
        <w:rPr>
          <w:rFonts w:ascii="Times New Roman" w:hAnsi="Times New Roman" w:cs="Times New Roman"/>
          <w:sz w:val="24"/>
        </w:rPr>
        <w:t xml:space="preserve">. The increased privatisation of culture, associated </w:t>
      </w:r>
      <w:r w:rsidR="003E6471">
        <w:rPr>
          <w:rFonts w:ascii="Times New Roman" w:hAnsi="Times New Roman" w:cs="Times New Roman"/>
          <w:sz w:val="24"/>
        </w:rPr>
        <w:t>with</w:t>
      </w:r>
      <w:r w:rsidR="00483904" w:rsidRPr="00F63E07">
        <w:rPr>
          <w:rFonts w:ascii="Times New Roman" w:hAnsi="Times New Roman" w:cs="Times New Roman"/>
          <w:sz w:val="24"/>
        </w:rPr>
        <w:t xml:space="preserve"> the reduction of public spending is accompanied by controversies, such as celebrating a multicultural workforce in the creative industries while promoting creative outcome</w:t>
      </w:r>
      <w:r w:rsidR="003E6471">
        <w:rPr>
          <w:rFonts w:ascii="Times New Roman" w:hAnsi="Times New Roman" w:cs="Times New Roman"/>
          <w:sz w:val="24"/>
        </w:rPr>
        <w:t>s</w:t>
      </w:r>
      <w:r w:rsidR="00483904" w:rsidRPr="00F63E07">
        <w:rPr>
          <w:rFonts w:ascii="Times New Roman" w:hAnsi="Times New Roman" w:cs="Times New Roman"/>
          <w:sz w:val="24"/>
        </w:rPr>
        <w:t xml:space="preserve"> which </w:t>
      </w:r>
      <w:r w:rsidR="003E6471">
        <w:rPr>
          <w:rFonts w:ascii="Times New Roman" w:hAnsi="Times New Roman" w:cs="Times New Roman"/>
          <w:sz w:val="24"/>
        </w:rPr>
        <w:t>are</w:t>
      </w:r>
      <w:r w:rsidR="00483904" w:rsidRPr="00F63E07">
        <w:rPr>
          <w:rFonts w:ascii="Times New Roman" w:hAnsi="Times New Roman" w:cs="Times New Roman"/>
          <w:sz w:val="24"/>
        </w:rPr>
        <w:t xml:space="preserve"> heavily framed as ‘British’ (Dowling &amp; Harvie, 2014; Townsend, 2006).</w:t>
      </w:r>
    </w:p>
    <w:p w:rsidR="00F63E07" w:rsidRPr="00F63E07" w:rsidRDefault="00483904" w:rsidP="00763209">
      <w:pPr>
        <w:tabs>
          <w:tab w:val="left" w:pos="5460"/>
        </w:tabs>
        <w:spacing w:before="240" w:after="0" w:line="360" w:lineRule="auto"/>
        <w:jc w:val="both"/>
        <w:rPr>
          <w:rFonts w:ascii="Times New Roman" w:hAnsi="Times New Roman" w:cs="Times New Roman"/>
          <w:sz w:val="24"/>
        </w:rPr>
      </w:pPr>
      <w:r w:rsidRPr="00F63E07">
        <w:rPr>
          <w:rFonts w:ascii="Times New Roman" w:hAnsi="Times New Roman" w:cs="Times New Roman"/>
          <w:sz w:val="24"/>
        </w:rPr>
        <w:lastRenderedPageBreak/>
        <w:t xml:space="preserve">The political discourse of the ‘Big Society’ initiated by the Conservative Party </w:t>
      </w:r>
      <w:r w:rsidR="00763209">
        <w:rPr>
          <w:rFonts w:ascii="Times New Roman" w:hAnsi="Times New Roman" w:cs="Times New Roman"/>
          <w:sz w:val="24"/>
        </w:rPr>
        <w:t>internalises</w:t>
      </w:r>
      <w:r w:rsidRPr="00F63E07">
        <w:rPr>
          <w:rFonts w:ascii="Times New Roman" w:hAnsi="Times New Roman" w:cs="Times New Roman"/>
          <w:sz w:val="24"/>
        </w:rPr>
        <w:t xml:space="preserve"> the conditions of the recent economic crisis (</w:t>
      </w:r>
      <w:r w:rsidRPr="00F63E07">
        <w:rPr>
          <w:rFonts w:ascii="Times New Roman" w:hAnsi="Times New Roman" w:cs="Times New Roman"/>
          <w:sz w:val="24"/>
        </w:rPr>
        <w:t>Dowling &amp; Harvie, 2014</w:t>
      </w:r>
      <w:r w:rsidRPr="00F63E07">
        <w:rPr>
          <w:rFonts w:ascii="Times New Roman" w:hAnsi="Times New Roman" w:cs="Times New Roman"/>
          <w:sz w:val="24"/>
        </w:rPr>
        <w:t>). Unsurprisingly, Big Society means more privatisation</w:t>
      </w:r>
      <w:r w:rsidR="00763209">
        <w:rPr>
          <w:rFonts w:ascii="Times New Roman" w:hAnsi="Times New Roman" w:cs="Times New Roman"/>
          <w:sz w:val="24"/>
        </w:rPr>
        <w:t xml:space="preserve"> for culture</w:t>
      </w:r>
      <w:r w:rsidRPr="00F63E07">
        <w:rPr>
          <w:rFonts w:ascii="Times New Roman" w:hAnsi="Times New Roman" w:cs="Times New Roman"/>
          <w:sz w:val="24"/>
        </w:rPr>
        <w:t xml:space="preserve">, less public expenditure and </w:t>
      </w:r>
      <w:r w:rsidR="00763209" w:rsidRPr="00F63E07">
        <w:rPr>
          <w:rFonts w:ascii="Times New Roman" w:hAnsi="Times New Roman" w:cs="Times New Roman"/>
          <w:sz w:val="24"/>
        </w:rPr>
        <w:t xml:space="preserve">free labour </w:t>
      </w:r>
      <w:r w:rsidR="00763209">
        <w:rPr>
          <w:rFonts w:ascii="Times New Roman" w:hAnsi="Times New Roman" w:cs="Times New Roman"/>
          <w:sz w:val="24"/>
        </w:rPr>
        <w:t xml:space="preserve">in the form of </w:t>
      </w:r>
      <w:r w:rsidRPr="00F63E07">
        <w:rPr>
          <w:rFonts w:ascii="Times New Roman" w:hAnsi="Times New Roman" w:cs="Times New Roman"/>
          <w:sz w:val="24"/>
        </w:rPr>
        <w:t>‘voluntarism’ (</w:t>
      </w:r>
      <w:r w:rsidRPr="00F63E07">
        <w:rPr>
          <w:rFonts w:ascii="Times New Roman" w:hAnsi="Times New Roman" w:cs="Times New Roman"/>
          <w:sz w:val="24"/>
        </w:rPr>
        <w:t>Dowling &amp; Harvie, 2014</w:t>
      </w:r>
      <w:r w:rsidRPr="00F63E07">
        <w:rPr>
          <w:rFonts w:ascii="Times New Roman" w:hAnsi="Times New Roman" w:cs="Times New Roman"/>
          <w:sz w:val="24"/>
        </w:rPr>
        <w:t xml:space="preserve">). </w:t>
      </w:r>
      <w:r w:rsidR="00DD6A6F" w:rsidRPr="00F63E07">
        <w:rPr>
          <w:rFonts w:ascii="Times New Roman" w:hAnsi="Times New Roman" w:cs="Times New Roman"/>
          <w:sz w:val="24"/>
        </w:rPr>
        <w:t xml:space="preserve">As </w:t>
      </w:r>
      <w:r w:rsidR="001B36F8">
        <w:rPr>
          <w:rFonts w:ascii="Times New Roman" w:hAnsi="Times New Roman" w:cs="Times New Roman"/>
          <w:sz w:val="24"/>
        </w:rPr>
        <w:t>Neelands et al.</w:t>
      </w:r>
      <w:r w:rsidR="001B36F8" w:rsidRPr="00F63E07">
        <w:rPr>
          <w:rFonts w:ascii="Times New Roman" w:hAnsi="Times New Roman" w:cs="Times New Roman"/>
          <w:sz w:val="24"/>
        </w:rPr>
        <w:t xml:space="preserve"> </w:t>
      </w:r>
      <w:r w:rsidR="001B36F8">
        <w:rPr>
          <w:rFonts w:ascii="Times New Roman" w:hAnsi="Times New Roman" w:cs="Times New Roman"/>
          <w:sz w:val="24"/>
        </w:rPr>
        <w:t>(</w:t>
      </w:r>
      <w:r w:rsidR="001B36F8" w:rsidRPr="00F63E07">
        <w:rPr>
          <w:rFonts w:ascii="Times New Roman" w:hAnsi="Times New Roman" w:cs="Times New Roman"/>
          <w:sz w:val="24"/>
        </w:rPr>
        <w:t>2015</w:t>
      </w:r>
      <w:r w:rsidR="00DD6A6F" w:rsidRPr="00F63E07">
        <w:rPr>
          <w:rFonts w:ascii="Times New Roman" w:hAnsi="Times New Roman" w:cs="Times New Roman"/>
          <w:sz w:val="24"/>
        </w:rPr>
        <w:t xml:space="preserve">, p.46) </w:t>
      </w:r>
      <w:r w:rsidR="00763209">
        <w:rPr>
          <w:rFonts w:ascii="Times New Roman" w:hAnsi="Times New Roman" w:cs="Times New Roman"/>
          <w:sz w:val="24"/>
        </w:rPr>
        <w:t>highlight</w:t>
      </w:r>
      <w:r w:rsidRPr="00F63E07">
        <w:rPr>
          <w:rFonts w:ascii="Times New Roman" w:hAnsi="Times New Roman" w:cs="Times New Roman"/>
          <w:sz w:val="24"/>
        </w:rPr>
        <w:t xml:space="preserve"> </w:t>
      </w:r>
      <w:r w:rsidR="00763209">
        <w:rPr>
          <w:rFonts w:ascii="Times New Roman" w:hAnsi="Times New Roman" w:cs="Times New Roman"/>
          <w:sz w:val="24"/>
        </w:rPr>
        <w:t>“</w:t>
      </w:r>
      <w:r w:rsidR="00DD6A6F" w:rsidRPr="00F63E07">
        <w:rPr>
          <w:rFonts w:ascii="Times New Roman" w:hAnsi="Times New Roman" w:cs="Times New Roman"/>
          <w:sz w:val="24"/>
        </w:rPr>
        <w:t>91% of the creative workforce in the UK has worked for free at some point</w:t>
      </w:r>
      <w:r w:rsidR="00763209">
        <w:rPr>
          <w:rFonts w:ascii="Times New Roman" w:hAnsi="Times New Roman" w:cs="Times New Roman"/>
          <w:sz w:val="24"/>
        </w:rPr>
        <w:t xml:space="preserve">”. </w:t>
      </w:r>
      <w:r w:rsidR="00F63E07" w:rsidRPr="00F63E07">
        <w:rPr>
          <w:rFonts w:ascii="Times New Roman" w:hAnsi="Times New Roman" w:cs="Times New Roman"/>
          <w:sz w:val="24"/>
        </w:rPr>
        <w:t xml:space="preserve">This research is focusing on the careers </w:t>
      </w:r>
      <w:r w:rsidR="003E6471" w:rsidRPr="00F63E07">
        <w:rPr>
          <w:rFonts w:ascii="Times New Roman" w:hAnsi="Times New Roman" w:cs="Times New Roman"/>
          <w:sz w:val="24"/>
        </w:rPr>
        <w:t xml:space="preserve">of art graduates </w:t>
      </w:r>
      <w:r w:rsidR="003E6471">
        <w:rPr>
          <w:rFonts w:ascii="Times New Roman" w:hAnsi="Times New Roman" w:cs="Times New Roman"/>
          <w:sz w:val="24"/>
        </w:rPr>
        <w:t xml:space="preserve">in the UK </w:t>
      </w:r>
      <w:r w:rsidR="00F63E07" w:rsidRPr="00F63E07">
        <w:rPr>
          <w:rFonts w:ascii="Times New Roman" w:hAnsi="Times New Roman" w:cs="Times New Roman"/>
          <w:sz w:val="24"/>
        </w:rPr>
        <w:t>sourcing primary data from a survey which is going to take place in the June 2016.</w:t>
      </w:r>
      <w:r w:rsidR="006D401C">
        <w:rPr>
          <w:rFonts w:ascii="Times New Roman" w:hAnsi="Times New Roman" w:cs="Times New Roman"/>
          <w:sz w:val="24"/>
        </w:rPr>
        <w:t xml:space="preserve"> Two focus groups (one with art students and a second with art graduates) will take place in July 2016 in order to reveal the perceived barriers of entering the art labour market and the actual experience of art graduates. In addition, </w:t>
      </w:r>
      <w:r w:rsidR="00F63E07" w:rsidRPr="00F63E07">
        <w:rPr>
          <w:rFonts w:ascii="Times New Roman" w:hAnsi="Times New Roman" w:cs="Times New Roman"/>
          <w:sz w:val="24"/>
        </w:rPr>
        <w:t>Secondary data regarding employment in the creative industries and the visual arts sector will be sourced from policy reports, including the DCMS and Arts Council UK.</w:t>
      </w:r>
    </w:p>
    <w:p w:rsidR="009E5871" w:rsidRDefault="00DA3907" w:rsidP="00F63E07">
      <w:pPr>
        <w:tabs>
          <w:tab w:val="left" w:pos="5460"/>
        </w:tabs>
        <w:spacing w:before="240" w:after="0" w:line="360" w:lineRule="auto"/>
        <w:jc w:val="both"/>
        <w:rPr>
          <w:rFonts w:ascii="Times New Roman" w:hAnsi="Times New Roman" w:cs="Times New Roman"/>
          <w:sz w:val="24"/>
        </w:rPr>
      </w:pPr>
      <w:r w:rsidRPr="00F63E07">
        <w:rPr>
          <w:rFonts w:ascii="Times New Roman" w:hAnsi="Times New Roman" w:cs="Times New Roman"/>
          <w:sz w:val="24"/>
        </w:rPr>
        <w:t xml:space="preserve">The field of visual arts is influenced by the recent economic crisis in </w:t>
      </w:r>
      <w:r w:rsidR="00763209">
        <w:rPr>
          <w:rFonts w:ascii="Times New Roman" w:hAnsi="Times New Roman" w:cs="Times New Roman"/>
          <w:sz w:val="24"/>
        </w:rPr>
        <w:t>many</w:t>
      </w:r>
      <w:r w:rsidRPr="00F63E07">
        <w:rPr>
          <w:rFonts w:ascii="Times New Roman" w:hAnsi="Times New Roman" w:cs="Times New Roman"/>
          <w:sz w:val="24"/>
        </w:rPr>
        <w:t xml:space="preserve"> ways. According to the cultural economist Claire McAndrew (201</w:t>
      </w:r>
      <w:r w:rsidR="00E65CA5">
        <w:rPr>
          <w:rFonts w:ascii="Times New Roman" w:hAnsi="Times New Roman" w:cs="Times New Roman"/>
          <w:sz w:val="24"/>
        </w:rPr>
        <w:t>6</w:t>
      </w:r>
      <w:r w:rsidRPr="00F63E07">
        <w:rPr>
          <w:rFonts w:ascii="Times New Roman" w:hAnsi="Times New Roman" w:cs="Times New Roman"/>
          <w:sz w:val="24"/>
        </w:rPr>
        <w:t>), the economic crisis has created more high-net worth individuals with an appetite to spend in high art, luxury brands and other commodities</w:t>
      </w:r>
      <w:r w:rsidR="006D401C">
        <w:rPr>
          <w:rFonts w:ascii="Times New Roman" w:hAnsi="Times New Roman" w:cs="Times New Roman"/>
          <w:sz w:val="24"/>
        </w:rPr>
        <w:t xml:space="preserve"> (Table 3)</w:t>
      </w:r>
      <w:r w:rsidRPr="00F63E07">
        <w:rPr>
          <w:rFonts w:ascii="Times New Roman" w:hAnsi="Times New Roman" w:cs="Times New Roman"/>
          <w:sz w:val="24"/>
        </w:rPr>
        <w:t xml:space="preserve">. This is also reinforced by </w:t>
      </w:r>
      <w:r w:rsidR="003E6471">
        <w:rPr>
          <w:rFonts w:ascii="Times New Roman" w:hAnsi="Times New Roman" w:cs="Times New Roman"/>
          <w:sz w:val="24"/>
        </w:rPr>
        <w:t xml:space="preserve">an </w:t>
      </w:r>
      <w:r w:rsidRPr="00F63E07">
        <w:rPr>
          <w:rFonts w:ascii="Times New Roman" w:hAnsi="Times New Roman" w:cs="Times New Roman"/>
          <w:sz w:val="24"/>
        </w:rPr>
        <w:t xml:space="preserve">increasing tendency to consider art as an investment, </w:t>
      </w:r>
      <w:r w:rsidR="00DD6A6F" w:rsidRPr="00F63E07">
        <w:rPr>
          <w:rFonts w:ascii="Times New Roman" w:hAnsi="Times New Roman" w:cs="Times New Roman"/>
          <w:sz w:val="24"/>
        </w:rPr>
        <w:t>with fine</w:t>
      </w:r>
      <w:r w:rsidRPr="00F63E07">
        <w:rPr>
          <w:rFonts w:ascii="Times New Roman" w:hAnsi="Times New Roman" w:cs="Times New Roman"/>
          <w:sz w:val="24"/>
        </w:rPr>
        <w:t xml:space="preserve"> art occupying approximately 20% </w:t>
      </w:r>
      <w:r w:rsidR="00DD6A6F" w:rsidRPr="00F63E07">
        <w:rPr>
          <w:rFonts w:ascii="Times New Roman" w:hAnsi="Times New Roman" w:cs="Times New Roman"/>
          <w:sz w:val="24"/>
        </w:rPr>
        <w:t>across</w:t>
      </w:r>
      <w:r w:rsidRPr="00F63E07">
        <w:rPr>
          <w:rFonts w:ascii="Times New Roman" w:hAnsi="Times New Roman" w:cs="Times New Roman"/>
          <w:sz w:val="24"/>
        </w:rPr>
        <w:t xml:space="preserve"> investments</w:t>
      </w:r>
      <w:r w:rsidR="003E6471">
        <w:rPr>
          <w:rFonts w:ascii="Times New Roman" w:hAnsi="Times New Roman" w:cs="Times New Roman"/>
          <w:sz w:val="24"/>
        </w:rPr>
        <w:t xml:space="preserve">, such as real estate, stocks and jewellery </w:t>
      </w:r>
      <w:r w:rsidRPr="00F63E07">
        <w:rPr>
          <w:rFonts w:ascii="Times New Roman" w:hAnsi="Times New Roman" w:cs="Times New Roman"/>
          <w:sz w:val="24"/>
        </w:rPr>
        <w:t>(Petterson, 201</w:t>
      </w:r>
      <w:r w:rsidR="00E65CA5">
        <w:rPr>
          <w:rFonts w:ascii="Times New Roman" w:hAnsi="Times New Roman" w:cs="Times New Roman"/>
          <w:sz w:val="24"/>
        </w:rPr>
        <w:t>4</w:t>
      </w:r>
      <w:r w:rsidRPr="00F63E07">
        <w:rPr>
          <w:rFonts w:ascii="Times New Roman" w:hAnsi="Times New Roman" w:cs="Times New Roman"/>
          <w:sz w:val="24"/>
        </w:rPr>
        <w:t>)</w:t>
      </w:r>
      <w:r w:rsidR="00DD6A6F" w:rsidRPr="00F63E07">
        <w:rPr>
          <w:rFonts w:ascii="Times New Roman" w:hAnsi="Times New Roman" w:cs="Times New Roman"/>
          <w:sz w:val="24"/>
        </w:rPr>
        <w:t xml:space="preserve">. </w:t>
      </w:r>
      <w:r w:rsidR="00E65CA5">
        <w:rPr>
          <w:rFonts w:ascii="Times New Roman" w:hAnsi="Times New Roman" w:cs="Times New Roman"/>
          <w:sz w:val="24"/>
        </w:rPr>
        <w:t>T</w:t>
      </w:r>
      <w:r w:rsidRPr="00F63E07">
        <w:rPr>
          <w:rFonts w:ascii="Times New Roman" w:hAnsi="Times New Roman" w:cs="Times New Roman"/>
          <w:sz w:val="24"/>
        </w:rPr>
        <w:t xml:space="preserve">he economic crisis being detrimental for organizations and countries, for some </w:t>
      </w:r>
      <w:r w:rsidR="009E5871" w:rsidRPr="00F63E07">
        <w:rPr>
          <w:rFonts w:ascii="Times New Roman" w:hAnsi="Times New Roman" w:cs="Times New Roman"/>
          <w:sz w:val="24"/>
        </w:rPr>
        <w:t xml:space="preserve">domains like the visual arts it </w:t>
      </w:r>
      <w:r w:rsidR="00763209">
        <w:rPr>
          <w:rFonts w:ascii="Times New Roman" w:hAnsi="Times New Roman" w:cs="Times New Roman"/>
          <w:sz w:val="24"/>
        </w:rPr>
        <w:t xml:space="preserve">seems to </w:t>
      </w:r>
      <w:r w:rsidR="00DD6A6F" w:rsidRPr="00F63E07">
        <w:rPr>
          <w:rFonts w:ascii="Times New Roman" w:hAnsi="Times New Roman" w:cs="Times New Roman"/>
          <w:sz w:val="24"/>
        </w:rPr>
        <w:t>support</w:t>
      </w:r>
      <w:r w:rsidR="009E5871" w:rsidRPr="00F63E07">
        <w:rPr>
          <w:rFonts w:ascii="Times New Roman" w:hAnsi="Times New Roman" w:cs="Times New Roman"/>
          <w:sz w:val="24"/>
        </w:rPr>
        <w:t xml:space="preserve"> growth</w:t>
      </w:r>
      <w:r w:rsidR="006D401C">
        <w:rPr>
          <w:rFonts w:ascii="Times New Roman" w:hAnsi="Times New Roman" w:cs="Times New Roman"/>
          <w:sz w:val="24"/>
        </w:rPr>
        <w:t xml:space="preserve"> (Tables 4, 5 &amp; 6)</w:t>
      </w:r>
      <w:r w:rsidR="009E5871" w:rsidRPr="00F63E07">
        <w:rPr>
          <w:rFonts w:ascii="Times New Roman" w:hAnsi="Times New Roman" w:cs="Times New Roman"/>
          <w:sz w:val="24"/>
        </w:rPr>
        <w:t>.</w:t>
      </w:r>
      <w:r w:rsidR="00DD6A6F" w:rsidRPr="00F63E07">
        <w:rPr>
          <w:rFonts w:ascii="Times New Roman" w:hAnsi="Times New Roman" w:cs="Times New Roman"/>
          <w:sz w:val="24"/>
        </w:rPr>
        <w:t xml:space="preserve"> </w:t>
      </w:r>
      <w:r w:rsidR="00763209">
        <w:rPr>
          <w:rFonts w:ascii="Times New Roman" w:hAnsi="Times New Roman" w:cs="Times New Roman"/>
          <w:sz w:val="24"/>
        </w:rPr>
        <w:t>Nevertheless</w:t>
      </w:r>
      <w:r w:rsidR="00DD6A6F" w:rsidRPr="00F63E07">
        <w:rPr>
          <w:rFonts w:ascii="Times New Roman" w:hAnsi="Times New Roman" w:cs="Times New Roman"/>
          <w:sz w:val="24"/>
        </w:rPr>
        <w:t>, it is uncertain whether these conditions are going to support equal opportunities</w:t>
      </w:r>
      <w:r w:rsidR="00763209">
        <w:rPr>
          <w:rFonts w:ascii="Times New Roman" w:hAnsi="Times New Roman" w:cs="Times New Roman"/>
          <w:sz w:val="24"/>
        </w:rPr>
        <w:t xml:space="preserve"> for employment</w:t>
      </w:r>
      <w:r w:rsidR="00DD6A6F" w:rsidRPr="00F63E07">
        <w:rPr>
          <w:rFonts w:ascii="Times New Roman" w:hAnsi="Times New Roman" w:cs="Times New Roman"/>
          <w:sz w:val="24"/>
        </w:rPr>
        <w:t xml:space="preserve"> in the artistic field. Instead, the attraction of new wealth in the </w:t>
      </w:r>
      <w:r w:rsidR="00763209">
        <w:rPr>
          <w:rFonts w:ascii="Times New Roman" w:hAnsi="Times New Roman" w:cs="Times New Roman"/>
          <w:sz w:val="24"/>
        </w:rPr>
        <w:t xml:space="preserve">artistic </w:t>
      </w:r>
      <w:r w:rsidR="00DD6A6F" w:rsidRPr="00F63E07">
        <w:rPr>
          <w:rFonts w:ascii="Times New Roman" w:hAnsi="Times New Roman" w:cs="Times New Roman"/>
          <w:sz w:val="24"/>
        </w:rPr>
        <w:t xml:space="preserve">field </w:t>
      </w:r>
      <w:r w:rsidR="00763209">
        <w:rPr>
          <w:rFonts w:ascii="Times New Roman" w:hAnsi="Times New Roman" w:cs="Times New Roman"/>
          <w:sz w:val="24"/>
        </w:rPr>
        <w:t>creates</w:t>
      </w:r>
      <w:r w:rsidR="00DD6A6F" w:rsidRPr="00F63E07">
        <w:rPr>
          <w:rFonts w:ascii="Times New Roman" w:hAnsi="Times New Roman" w:cs="Times New Roman"/>
          <w:sz w:val="24"/>
        </w:rPr>
        <w:t xml:space="preserve"> new forms of inequalities.</w:t>
      </w:r>
    </w:p>
    <w:p w:rsidR="008949E3" w:rsidRPr="008949E3" w:rsidRDefault="008949E3" w:rsidP="008949E3">
      <w:pPr>
        <w:tabs>
          <w:tab w:val="left" w:pos="5460"/>
        </w:tabs>
        <w:spacing w:before="240" w:after="0" w:line="360" w:lineRule="auto"/>
        <w:jc w:val="center"/>
        <w:rPr>
          <w:rFonts w:ascii="Times New Roman" w:hAnsi="Times New Roman" w:cs="Times New Roman"/>
          <w:b/>
          <w:i/>
          <w:sz w:val="24"/>
        </w:rPr>
      </w:pPr>
      <w:r w:rsidRPr="008949E3">
        <w:rPr>
          <w:rFonts w:ascii="Times New Roman" w:hAnsi="Times New Roman" w:cs="Times New Roman"/>
          <w:b/>
          <w:i/>
          <w:sz w:val="24"/>
        </w:rPr>
        <w:t>Tables</w:t>
      </w:r>
      <w:r w:rsidR="006D401C">
        <w:rPr>
          <w:rFonts w:ascii="Times New Roman" w:hAnsi="Times New Roman" w:cs="Times New Roman"/>
          <w:b/>
          <w:i/>
          <w:sz w:val="24"/>
        </w:rPr>
        <w:t xml:space="preserve"> 3, 4, </w:t>
      </w:r>
      <w:r w:rsidRPr="008949E3">
        <w:rPr>
          <w:rFonts w:ascii="Times New Roman" w:hAnsi="Times New Roman" w:cs="Times New Roman"/>
          <w:b/>
          <w:i/>
          <w:sz w:val="24"/>
        </w:rPr>
        <w:t>5</w:t>
      </w:r>
      <w:r w:rsidR="006D401C">
        <w:rPr>
          <w:rFonts w:ascii="Times New Roman" w:hAnsi="Times New Roman" w:cs="Times New Roman"/>
          <w:b/>
          <w:i/>
          <w:sz w:val="24"/>
        </w:rPr>
        <w:t xml:space="preserve"> &amp; 6</w:t>
      </w:r>
    </w:p>
    <w:p w:rsidR="00392A31" w:rsidRPr="00F63E07" w:rsidRDefault="00DD6A6F" w:rsidP="00F63E07">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D</w:t>
      </w:r>
      <w:r w:rsidR="00F8213F" w:rsidRPr="00F63E07">
        <w:rPr>
          <w:rFonts w:ascii="Times New Roman" w:hAnsi="Times New Roman" w:cs="Times New Roman"/>
          <w:sz w:val="24"/>
        </w:rPr>
        <w:t>espite the promise of information</w:t>
      </w:r>
      <w:r w:rsidR="00485A9C" w:rsidRPr="00F63E07">
        <w:rPr>
          <w:rFonts w:ascii="Times New Roman" w:hAnsi="Times New Roman" w:cs="Times New Roman"/>
          <w:sz w:val="24"/>
        </w:rPr>
        <w:t xml:space="preserve"> and communication technologies</w:t>
      </w:r>
      <w:r w:rsidR="00E65CA5">
        <w:rPr>
          <w:rFonts w:ascii="Times New Roman" w:hAnsi="Times New Roman" w:cs="Times New Roman"/>
          <w:sz w:val="24"/>
        </w:rPr>
        <w:t xml:space="preserve"> to provide opportunities to artists globally</w:t>
      </w:r>
      <w:r w:rsidR="00485A9C" w:rsidRPr="00F63E07">
        <w:rPr>
          <w:rFonts w:ascii="Times New Roman" w:hAnsi="Times New Roman" w:cs="Times New Roman"/>
          <w:sz w:val="24"/>
        </w:rPr>
        <w:t xml:space="preserve">, </w:t>
      </w:r>
      <w:r w:rsidR="00F8213F" w:rsidRPr="00F63E07">
        <w:rPr>
          <w:rFonts w:ascii="Times New Roman" w:hAnsi="Times New Roman" w:cs="Times New Roman"/>
          <w:sz w:val="24"/>
        </w:rPr>
        <w:t>geographic inequalities</w:t>
      </w:r>
      <w:r w:rsidR="00485A9C" w:rsidRPr="00F63E07">
        <w:rPr>
          <w:rFonts w:ascii="Times New Roman" w:hAnsi="Times New Roman" w:cs="Times New Roman"/>
          <w:sz w:val="24"/>
        </w:rPr>
        <w:t xml:space="preserve"> </w:t>
      </w:r>
      <w:r w:rsidR="00763209">
        <w:rPr>
          <w:rFonts w:ascii="Times New Roman" w:hAnsi="Times New Roman" w:cs="Times New Roman"/>
          <w:sz w:val="24"/>
        </w:rPr>
        <w:t>intensify</w:t>
      </w:r>
      <w:r w:rsidR="00F8213F" w:rsidRPr="00F63E07">
        <w:rPr>
          <w:rFonts w:ascii="Times New Roman" w:hAnsi="Times New Roman" w:cs="Times New Roman"/>
          <w:sz w:val="24"/>
        </w:rPr>
        <w:t xml:space="preserve"> </w:t>
      </w:r>
      <w:r w:rsidR="00E65CA5">
        <w:rPr>
          <w:rFonts w:ascii="Times New Roman" w:hAnsi="Times New Roman" w:cs="Times New Roman"/>
          <w:sz w:val="24"/>
        </w:rPr>
        <w:t>as</w:t>
      </w:r>
      <w:r w:rsidRPr="00F63E07">
        <w:rPr>
          <w:rFonts w:ascii="Times New Roman" w:hAnsi="Times New Roman" w:cs="Times New Roman"/>
          <w:sz w:val="24"/>
        </w:rPr>
        <w:t xml:space="preserve"> economic</w:t>
      </w:r>
      <w:r w:rsidR="00F8213F" w:rsidRPr="00F63E07">
        <w:rPr>
          <w:rFonts w:ascii="Times New Roman" w:hAnsi="Times New Roman" w:cs="Times New Roman"/>
          <w:sz w:val="24"/>
        </w:rPr>
        <w:t xml:space="preserve"> resources </w:t>
      </w:r>
      <w:r w:rsidR="00E65CA5">
        <w:rPr>
          <w:rFonts w:ascii="Times New Roman" w:hAnsi="Times New Roman" w:cs="Times New Roman"/>
          <w:sz w:val="24"/>
        </w:rPr>
        <w:t xml:space="preserve">concentrate </w:t>
      </w:r>
      <w:r w:rsidR="00F8213F" w:rsidRPr="00F63E07">
        <w:rPr>
          <w:rFonts w:ascii="Times New Roman" w:hAnsi="Times New Roman" w:cs="Times New Roman"/>
          <w:sz w:val="24"/>
        </w:rPr>
        <w:t xml:space="preserve">in </w:t>
      </w:r>
      <w:r w:rsidRPr="00F63E07">
        <w:rPr>
          <w:rFonts w:ascii="Times New Roman" w:hAnsi="Times New Roman" w:cs="Times New Roman"/>
          <w:sz w:val="24"/>
        </w:rPr>
        <w:t>art hubs</w:t>
      </w:r>
      <w:r w:rsidR="00485A9C" w:rsidRPr="00F63E07">
        <w:rPr>
          <w:rFonts w:ascii="Times New Roman" w:hAnsi="Times New Roman" w:cs="Times New Roman"/>
          <w:sz w:val="24"/>
        </w:rPr>
        <w:t xml:space="preserve"> like </w:t>
      </w:r>
      <w:r w:rsidRPr="00F63E07">
        <w:rPr>
          <w:rFonts w:ascii="Times New Roman" w:hAnsi="Times New Roman" w:cs="Times New Roman"/>
          <w:sz w:val="24"/>
        </w:rPr>
        <w:t>London (Velthuis &amp; Curioni, 2015).</w:t>
      </w:r>
      <w:r w:rsidR="003E6471">
        <w:rPr>
          <w:rFonts w:ascii="Times New Roman" w:hAnsi="Times New Roman" w:cs="Times New Roman"/>
          <w:sz w:val="24"/>
        </w:rPr>
        <w:t xml:space="preserve"> However,</w:t>
      </w:r>
      <w:r w:rsidRPr="00F63E07">
        <w:rPr>
          <w:rFonts w:ascii="Times New Roman" w:hAnsi="Times New Roman" w:cs="Times New Roman"/>
          <w:sz w:val="24"/>
        </w:rPr>
        <w:t xml:space="preserve"> </w:t>
      </w:r>
      <w:r w:rsidR="003E6471">
        <w:rPr>
          <w:rFonts w:ascii="Times New Roman" w:hAnsi="Times New Roman" w:cs="Times New Roman"/>
          <w:sz w:val="24"/>
        </w:rPr>
        <w:t>t</w:t>
      </w:r>
      <w:r w:rsidR="00392A31" w:rsidRPr="00F63E07">
        <w:rPr>
          <w:rFonts w:ascii="Times New Roman" w:hAnsi="Times New Roman" w:cs="Times New Roman"/>
          <w:sz w:val="24"/>
        </w:rPr>
        <w:t xml:space="preserve">he </w:t>
      </w:r>
      <w:r w:rsidRPr="00F63E07">
        <w:rPr>
          <w:rFonts w:ascii="Times New Roman" w:hAnsi="Times New Roman" w:cs="Times New Roman"/>
          <w:sz w:val="24"/>
        </w:rPr>
        <w:t>need of high-net-worth-</w:t>
      </w:r>
      <w:r w:rsidR="00992339" w:rsidRPr="00F63E07">
        <w:rPr>
          <w:rFonts w:ascii="Times New Roman" w:hAnsi="Times New Roman" w:cs="Times New Roman"/>
          <w:sz w:val="24"/>
        </w:rPr>
        <w:t>individuals to find investment opportunities has led to an increase in real estate prices</w:t>
      </w:r>
      <w:r w:rsidR="00392A31" w:rsidRPr="00F63E07">
        <w:rPr>
          <w:rFonts w:ascii="Times New Roman" w:hAnsi="Times New Roman" w:cs="Times New Roman"/>
          <w:sz w:val="24"/>
        </w:rPr>
        <w:t xml:space="preserve"> in </w:t>
      </w:r>
      <w:r w:rsidR="00E65CA5">
        <w:rPr>
          <w:rFonts w:ascii="Times New Roman" w:hAnsi="Times New Roman" w:cs="Times New Roman"/>
          <w:sz w:val="24"/>
        </w:rPr>
        <w:t>places like London. A</w:t>
      </w:r>
      <w:r w:rsidR="00392A31" w:rsidRPr="00F63E07">
        <w:rPr>
          <w:rFonts w:ascii="Times New Roman" w:hAnsi="Times New Roman" w:cs="Times New Roman"/>
          <w:sz w:val="24"/>
        </w:rPr>
        <w:t>s Nicholas Serota (director of Tate) warns “the high cost of living in London is threatening its place as a world leader in creativity and the arts”</w:t>
      </w:r>
      <w:r w:rsidR="00E65CA5">
        <w:rPr>
          <w:rFonts w:ascii="Times New Roman" w:hAnsi="Times New Roman" w:cs="Times New Roman"/>
          <w:sz w:val="24"/>
        </w:rPr>
        <w:t xml:space="preserve"> (Watts, 2016)</w:t>
      </w:r>
      <w:r w:rsidR="00392A31" w:rsidRPr="00F63E07">
        <w:rPr>
          <w:rFonts w:ascii="Times New Roman" w:hAnsi="Times New Roman" w:cs="Times New Roman"/>
          <w:sz w:val="24"/>
        </w:rPr>
        <w:t>.</w:t>
      </w:r>
      <w:r w:rsidR="00992339" w:rsidRPr="00F63E07">
        <w:rPr>
          <w:rFonts w:ascii="Times New Roman" w:hAnsi="Times New Roman" w:cs="Times New Roman"/>
          <w:sz w:val="24"/>
        </w:rPr>
        <w:t xml:space="preserve"> </w:t>
      </w:r>
      <w:r w:rsidR="00392A31" w:rsidRPr="00F63E07">
        <w:rPr>
          <w:rFonts w:ascii="Times New Roman" w:hAnsi="Times New Roman" w:cs="Times New Roman"/>
          <w:sz w:val="24"/>
        </w:rPr>
        <w:t>This effect pressurises galleries and art institution</w:t>
      </w:r>
      <w:r w:rsidR="00E65CA5">
        <w:rPr>
          <w:rFonts w:ascii="Times New Roman" w:hAnsi="Times New Roman" w:cs="Times New Roman"/>
          <w:sz w:val="24"/>
        </w:rPr>
        <w:t>s</w:t>
      </w:r>
      <w:r w:rsidR="00392A31" w:rsidRPr="00F63E07">
        <w:rPr>
          <w:rFonts w:ascii="Times New Roman" w:hAnsi="Times New Roman" w:cs="Times New Roman"/>
          <w:sz w:val="24"/>
        </w:rPr>
        <w:t xml:space="preserve"> </w:t>
      </w:r>
      <w:r w:rsidR="00763209">
        <w:rPr>
          <w:rFonts w:ascii="Times New Roman" w:hAnsi="Times New Roman" w:cs="Times New Roman"/>
          <w:sz w:val="24"/>
        </w:rPr>
        <w:t>to take less risks in their programming patterns</w:t>
      </w:r>
      <w:r w:rsidR="00392A31" w:rsidRPr="00F63E07">
        <w:rPr>
          <w:rFonts w:ascii="Times New Roman" w:hAnsi="Times New Roman" w:cs="Times New Roman"/>
          <w:sz w:val="24"/>
        </w:rPr>
        <w:t xml:space="preserve">, </w:t>
      </w:r>
      <w:r w:rsidR="00763209">
        <w:rPr>
          <w:rFonts w:ascii="Times New Roman" w:hAnsi="Times New Roman" w:cs="Times New Roman"/>
          <w:sz w:val="24"/>
        </w:rPr>
        <w:t xml:space="preserve">which results into </w:t>
      </w:r>
      <w:r w:rsidR="00392A31" w:rsidRPr="00F63E07">
        <w:rPr>
          <w:rFonts w:ascii="Times New Roman" w:hAnsi="Times New Roman" w:cs="Times New Roman"/>
          <w:sz w:val="24"/>
        </w:rPr>
        <w:t>inclu</w:t>
      </w:r>
      <w:r w:rsidR="00763209">
        <w:rPr>
          <w:rFonts w:ascii="Times New Roman" w:hAnsi="Times New Roman" w:cs="Times New Roman"/>
          <w:sz w:val="24"/>
        </w:rPr>
        <w:t>ding less</w:t>
      </w:r>
      <w:r w:rsidR="00392A31" w:rsidRPr="00F63E07">
        <w:rPr>
          <w:rFonts w:ascii="Times New Roman" w:hAnsi="Times New Roman" w:cs="Times New Roman"/>
          <w:sz w:val="24"/>
        </w:rPr>
        <w:t xml:space="preserve"> emerging artists in major exhibitions.</w:t>
      </w:r>
    </w:p>
    <w:p w:rsidR="00602116" w:rsidRDefault="00992339" w:rsidP="00F63E07">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lastRenderedPageBreak/>
        <w:t>As art is incr</w:t>
      </w:r>
      <w:r w:rsidR="00392A31" w:rsidRPr="00F63E07">
        <w:rPr>
          <w:rFonts w:ascii="Times New Roman" w:hAnsi="Times New Roman" w:cs="Times New Roman"/>
          <w:sz w:val="24"/>
        </w:rPr>
        <w:t xml:space="preserve">easingly </w:t>
      </w:r>
      <w:r w:rsidR="00E65CA5" w:rsidRPr="00F63E07">
        <w:rPr>
          <w:rFonts w:ascii="Times New Roman" w:hAnsi="Times New Roman" w:cs="Times New Roman"/>
          <w:sz w:val="24"/>
        </w:rPr>
        <w:t xml:space="preserve">seen </w:t>
      </w:r>
      <w:r w:rsidR="00392A31" w:rsidRPr="00F63E07">
        <w:rPr>
          <w:rFonts w:ascii="Times New Roman" w:hAnsi="Times New Roman" w:cs="Times New Roman"/>
          <w:sz w:val="24"/>
        </w:rPr>
        <w:t>as investment</w:t>
      </w:r>
      <w:r w:rsidR="00FF3835" w:rsidRPr="00F63E07">
        <w:rPr>
          <w:rFonts w:ascii="Times New Roman" w:hAnsi="Times New Roman" w:cs="Times New Roman"/>
          <w:sz w:val="24"/>
        </w:rPr>
        <w:t xml:space="preserve"> (Petterson, 2014)</w:t>
      </w:r>
      <w:r w:rsidR="00392A31" w:rsidRPr="00F63E07">
        <w:rPr>
          <w:rFonts w:ascii="Times New Roman" w:hAnsi="Times New Roman" w:cs="Times New Roman"/>
          <w:sz w:val="24"/>
        </w:rPr>
        <w:t>, high-net-</w:t>
      </w:r>
      <w:r w:rsidRPr="00F63E07">
        <w:rPr>
          <w:rFonts w:ascii="Times New Roman" w:hAnsi="Times New Roman" w:cs="Times New Roman"/>
          <w:sz w:val="24"/>
        </w:rPr>
        <w:t>worth</w:t>
      </w:r>
      <w:r w:rsidR="00392A31" w:rsidRPr="00F63E07">
        <w:rPr>
          <w:rFonts w:ascii="Times New Roman" w:hAnsi="Times New Roman" w:cs="Times New Roman"/>
          <w:sz w:val="24"/>
        </w:rPr>
        <w:t>-</w:t>
      </w:r>
      <w:r w:rsidRPr="00F63E07">
        <w:rPr>
          <w:rFonts w:ascii="Times New Roman" w:hAnsi="Times New Roman" w:cs="Times New Roman"/>
          <w:sz w:val="24"/>
        </w:rPr>
        <w:t>individuals are looking for ‘discover</w:t>
      </w:r>
      <w:r w:rsidR="00392A31" w:rsidRPr="00F63E07">
        <w:rPr>
          <w:rFonts w:ascii="Times New Roman" w:hAnsi="Times New Roman" w:cs="Times New Roman"/>
          <w:sz w:val="24"/>
        </w:rPr>
        <w:t>ing</w:t>
      </w:r>
      <w:r w:rsidRPr="00F63E07">
        <w:rPr>
          <w:rFonts w:ascii="Times New Roman" w:hAnsi="Times New Roman" w:cs="Times New Roman"/>
          <w:sz w:val="24"/>
        </w:rPr>
        <w:t>’ new talent which will produce financial returns in the near future</w:t>
      </w:r>
      <w:r w:rsidR="00FF3835" w:rsidRPr="00F63E07">
        <w:rPr>
          <w:rFonts w:ascii="Times New Roman" w:hAnsi="Times New Roman" w:cs="Times New Roman"/>
          <w:sz w:val="24"/>
        </w:rPr>
        <w:t xml:space="preserve"> (McAndrew, 2016)</w:t>
      </w:r>
      <w:r w:rsidRPr="00F63E07">
        <w:rPr>
          <w:rFonts w:ascii="Times New Roman" w:hAnsi="Times New Roman" w:cs="Times New Roman"/>
          <w:sz w:val="24"/>
        </w:rPr>
        <w:t>.</w:t>
      </w:r>
      <w:r w:rsidR="00FB3AD9" w:rsidRPr="00F63E07">
        <w:rPr>
          <w:rFonts w:ascii="Times New Roman" w:hAnsi="Times New Roman" w:cs="Times New Roman"/>
          <w:sz w:val="24"/>
        </w:rPr>
        <w:t xml:space="preserve"> Looking at art as an investment creates a </w:t>
      </w:r>
      <w:r w:rsidR="00E65CA5">
        <w:rPr>
          <w:rFonts w:ascii="Times New Roman" w:hAnsi="Times New Roman" w:cs="Times New Roman"/>
          <w:sz w:val="24"/>
        </w:rPr>
        <w:t>‘</w:t>
      </w:r>
      <w:r w:rsidR="00FB3AD9" w:rsidRPr="00F63E07">
        <w:rPr>
          <w:rFonts w:ascii="Times New Roman" w:hAnsi="Times New Roman" w:cs="Times New Roman"/>
          <w:sz w:val="24"/>
        </w:rPr>
        <w:t>culture of gambling</w:t>
      </w:r>
      <w:r w:rsidR="00E65CA5">
        <w:rPr>
          <w:rFonts w:ascii="Times New Roman" w:hAnsi="Times New Roman" w:cs="Times New Roman"/>
          <w:sz w:val="24"/>
        </w:rPr>
        <w:t>’</w:t>
      </w:r>
      <w:r w:rsidR="00FB3AD9" w:rsidRPr="00F63E07">
        <w:rPr>
          <w:rFonts w:ascii="Times New Roman" w:hAnsi="Times New Roman" w:cs="Times New Roman"/>
          <w:sz w:val="24"/>
        </w:rPr>
        <w:t xml:space="preserve"> within the artistic field, which explains why certain art works achieve </w:t>
      </w:r>
      <w:r w:rsidR="00FF3835" w:rsidRPr="00F63E07">
        <w:rPr>
          <w:rFonts w:ascii="Times New Roman" w:hAnsi="Times New Roman" w:cs="Times New Roman"/>
          <w:sz w:val="24"/>
        </w:rPr>
        <w:t>very high</w:t>
      </w:r>
      <w:r w:rsidR="00FB3AD9" w:rsidRPr="00F63E07">
        <w:rPr>
          <w:rFonts w:ascii="Times New Roman" w:hAnsi="Times New Roman" w:cs="Times New Roman"/>
          <w:sz w:val="24"/>
        </w:rPr>
        <w:t xml:space="preserve"> prices, dividing </w:t>
      </w:r>
      <w:r w:rsidR="00763209">
        <w:rPr>
          <w:rFonts w:ascii="Times New Roman" w:hAnsi="Times New Roman" w:cs="Times New Roman"/>
          <w:sz w:val="24"/>
        </w:rPr>
        <w:t xml:space="preserve">artists </w:t>
      </w:r>
      <w:r w:rsidR="00FB3AD9" w:rsidRPr="00F63E07">
        <w:rPr>
          <w:rFonts w:ascii="Times New Roman" w:hAnsi="Times New Roman" w:cs="Times New Roman"/>
          <w:sz w:val="24"/>
        </w:rPr>
        <w:t>into a small cast of super-</w:t>
      </w:r>
      <w:r w:rsidR="00392A31" w:rsidRPr="00F63E07">
        <w:rPr>
          <w:rFonts w:ascii="Times New Roman" w:hAnsi="Times New Roman" w:cs="Times New Roman"/>
          <w:sz w:val="24"/>
        </w:rPr>
        <w:t>star</w:t>
      </w:r>
      <w:r w:rsidR="00763209">
        <w:rPr>
          <w:rFonts w:ascii="Times New Roman" w:hAnsi="Times New Roman" w:cs="Times New Roman"/>
          <w:sz w:val="24"/>
        </w:rPr>
        <w:t xml:space="preserve">s </w:t>
      </w:r>
      <w:r w:rsidR="00FB3AD9" w:rsidRPr="00F63E07">
        <w:rPr>
          <w:rFonts w:ascii="Times New Roman" w:hAnsi="Times New Roman" w:cs="Times New Roman"/>
          <w:sz w:val="24"/>
        </w:rPr>
        <w:t xml:space="preserve">and </w:t>
      </w:r>
      <w:r w:rsidR="00FF3835" w:rsidRPr="00F63E07">
        <w:rPr>
          <w:rFonts w:ascii="Times New Roman" w:hAnsi="Times New Roman" w:cs="Times New Roman"/>
          <w:sz w:val="24"/>
        </w:rPr>
        <w:t xml:space="preserve">a vast majority </w:t>
      </w:r>
      <w:r w:rsidR="00FB3AD9" w:rsidRPr="00F63E07">
        <w:rPr>
          <w:rFonts w:ascii="Times New Roman" w:hAnsi="Times New Roman" w:cs="Times New Roman"/>
          <w:sz w:val="24"/>
        </w:rPr>
        <w:t>which experience</w:t>
      </w:r>
      <w:r w:rsidR="00FF3835" w:rsidRPr="00F63E07">
        <w:rPr>
          <w:rFonts w:ascii="Times New Roman" w:hAnsi="Times New Roman" w:cs="Times New Roman"/>
          <w:sz w:val="24"/>
        </w:rPr>
        <w:t>s</w:t>
      </w:r>
      <w:r w:rsidR="00FB3AD9" w:rsidRPr="00F63E07">
        <w:rPr>
          <w:rFonts w:ascii="Times New Roman" w:hAnsi="Times New Roman" w:cs="Times New Roman"/>
          <w:sz w:val="24"/>
        </w:rPr>
        <w:t xml:space="preserve"> precarious conditions</w:t>
      </w:r>
      <w:r w:rsidR="00392A31" w:rsidRPr="00F63E07">
        <w:rPr>
          <w:rFonts w:ascii="Times New Roman" w:hAnsi="Times New Roman" w:cs="Times New Roman"/>
          <w:sz w:val="24"/>
        </w:rPr>
        <w:t xml:space="preserve"> of labour (Gill &amp; Pratt, 2013</w:t>
      </w:r>
      <w:r w:rsidR="00FF3835" w:rsidRPr="00F63E07">
        <w:rPr>
          <w:rFonts w:ascii="Times New Roman" w:hAnsi="Times New Roman" w:cs="Times New Roman"/>
          <w:sz w:val="24"/>
        </w:rPr>
        <w:t>; Morgan et al., 2013</w:t>
      </w:r>
      <w:r w:rsidR="006D401C">
        <w:rPr>
          <w:rFonts w:ascii="Times New Roman" w:hAnsi="Times New Roman" w:cs="Times New Roman"/>
          <w:sz w:val="24"/>
        </w:rPr>
        <w:t>; Table 7</w:t>
      </w:r>
      <w:r w:rsidR="00392A31" w:rsidRPr="00F63E07">
        <w:rPr>
          <w:rFonts w:ascii="Times New Roman" w:hAnsi="Times New Roman" w:cs="Times New Roman"/>
          <w:sz w:val="24"/>
        </w:rPr>
        <w:t>)</w:t>
      </w:r>
      <w:r w:rsidR="00FB3AD9" w:rsidRPr="00F63E07">
        <w:rPr>
          <w:rFonts w:ascii="Times New Roman" w:hAnsi="Times New Roman" w:cs="Times New Roman"/>
          <w:sz w:val="24"/>
        </w:rPr>
        <w:t xml:space="preserve">. This also divides the cultural domain into </w:t>
      </w:r>
      <w:r w:rsidR="00FF3835" w:rsidRPr="00F63E07">
        <w:rPr>
          <w:rFonts w:ascii="Times New Roman" w:hAnsi="Times New Roman" w:cs="Times New Roman"/>
          <w:sz w:val="24"/>
        </w:rPr>
        <w:t xml:space="preserve">certain </w:t>
      </w:r>
      <w:r w:rsidR="00FB3AD9" w:rsidRPr="00F63E07">
        <w:rPr>
          <w:rFonts w:ascii="Times New Roman" w:hAnsi="Times New Roman" w:cs="Times New Roman"/>
          <w:sz w:val="24"/>
        </w:rPr>
        <w:t xml:space="preserve">forms </w:t>
      </w:r>
      <w:r w:rsidR="00FF3835" w:rsidRPr="00F63E07">
        <w:rPr>
          <w:rFonts w:ascii="Times New Roman" w:hAnsi="Times New Roman" w:cs="Times New Roman"/>
          <w:sz w:val="24"/>
        </w:rPr>
        <w:t>of art such as contemporary art which is extremely volatile and thus profitable, and others such as performance</w:t>
      </w:r>
      <w:r w:rsidR="00E65CA5">
        <w:rPr>
          <w:rFonts w:ascii="Times New Roman" w:hAnsi="Times New Roman" w:cs="Times New Roman"/>
          <w:sz w:val="24"/>
        </w:rPr>
        <w:t xml:space="preserve"> </w:t>
      </w:r>
      <w:r w:rsidR="00FF3835" w:rsidRPr="00F63E07">
        <w:rPr>
          <w:rFonts w:ascii="Times New Roman" w:hAnsi="Times New Roman" w:cs="Times New Roman"/>
          <w:sz w:val="24"/>
        </w:rPr>
        <w:t xml:space="preserve">which due to immateriality are </w:t>
      </w:r>
      <w:r w:rsidR="00763209">
        <w:rPr>
          <w:rFonts w:ascii="Times New Roman" w:hAnsi="Times New Roman" w:cs="Times New Roman"/>
          <w:sz w:val="24"/>
        </w:rPr>
        <w:t>is</w:t>
      </w:r>
      <w:r w:rsidR="00FF3835" w:rsidRPr="00F63E07">
        <w:rPr>
          <w:rFonts w:ascii="Times New Roman" w:hAnsi="Times New Roman" w:cs="Times New Roman"/>
          <w:sz w:val="24"/>
        </w:rPr>
        <w:t xml:space="preserve"> considered as suitable for investment (</w:t>
      </w:r>
      <w:r w:rsidR="00FB3AD9" w:rsidRPr="00F63E07">
        <w:rPr>
          <w:rFonts w:ascii="Times New Roman" w:hAnsi="Times New Roman" w:cs="Times New Roman"/>
          <w:sz w:val="24"/>
        </w:rPr>
        <w:t>Oakley, 2009).</w:t>
      </w:r>
    </w:p>
    <w:p w:rsidR="006D401C" w:rsidRPr="006D401C" w:rsidRDefault="006D401C" w:rsidP="006D401C">
      <w:pPr>
        <w:spacing w:before="240" w:after="0" w:line="360" w:lineRule="auto"/>
        <w:jc w:val="center"/>
        <w:rPr>
          <w:rFonts w:ascii="Times New Roman" w:hAnsi="Times New Roman" w:cs="Times New Roman"/>
          <w:b/>
          <w:i/>
          <w:sz w:val="24"/>
        </w:rPr>
      </w:pPr>
      <w:r w:rsidRPr="006D401C">
        <w:rPr>
          <w:rFonts w:ascii="Times New Roman" w:hAnsi="Times New Roman" w:cs="Times New Roman"/>
          <w:b/>
          <w:i/>
          <w:sz w:val="24"/>
        </w:rPr>
        <w:t>Table 7</w:t>
      </w:r>
    </w:p>
    <w:p w:rsidR="00DA3907" w:rsidRPr="00F63E07" w:rsidRDefault="00E65CA5" w:rsidP="00F63E07">
      <w:pPr>
        <w:spacing w:before="240" w:after="0" w:line="360" w:lineRule="auto"/>
        <w:jc w:val="both"/>
        <w:rPr>
          <w:rFonts w:ascii="Times New Roman" w:hAnsi="Times New Roman" w:cs="Times New Roman"/>
          <w:sz w:val="24"/>
        </w:rPr>
      </w:pPr>
      <w:r>
        <w:rPr>
          <w:rFonts w:ascii="Times New Roman" w:hAnsi="Times New Roman" w:cs="Times New Roman"/>
          <w:sz w:val="24"/>
        </w:rPr>
        <w:t>Art investment in the artistic field is fuelled by</w:t>
      </w:r>
      <w:r w:rsidR="00FF3835" w:rsidRPr="00F63E07">
        <w:rPr>
          <w:rFonts w:ascii="Times New Roman" w:hAnsi="Times New Roman" w:cs="Times New Roman"/>
          <w:sz w:val="24"/>
        </w:rPr>
        <w:t xml:space="preserve"> v</w:t>
      </w:r>
      <w:r w:rsidR="00FB3AD9" w:rsidRPr="00F63E07">
        <w:rPr>
          <w:rFonts w:ascii="Times New Roman" w:hAnsi="Times New Roman" w:cs="Times New Roman"/>
          <w:sz w:val="24"/>
        </w:rPr>
        <w:t xml:space="preserve">ested interest </w:t>
      </w:r>
      <w:r>
        <w:rPr>
          <w:rFonts w:ascii="Times New Roman" w:hAnsi="Times New Roman" w:cs="Times New Roman"/>
          <w:sz w:val="24"/>
        </w:rPr>
        <w:t xml:space="preserve">within </w:t>
      </w:r>
      <w:r w:rsidR="00FB3AD9" w:rsidRPr="00F63E07">
        <w:rPr>
          <w:rFonts w:ascii="Times New Roman" w:hAnsi="Times New Roman" w:cs="Times New Roman"/>
          <w:sz w:val="24"/>
        </w:rPr>
        <w:t>elite networks of artists, dealers, curators, art advisers, and museum directors</w:t>
      </w:r>
      <w:r>
        <w:rPr>
          <w:rFonts w:ascii="Times New Roman" w:hAnsi="Times New Roman" w:cs="Times New Roman"/>
          <w:sz w:val="24"/>
        </w:rPr>
        <w:t>, which exploit information asymmetries and eventually benefit from the economic crisis</w:t>
      </w:r>
      <w:r w:rsidR="00FF3835" w:rsidRPr="00F63E07">
        <w:rPr>
          <w:rFonts w:ascii="Times New Roman" w:hAnsi="Times New Roman" w:cs="Times New Roman"/>
          <w:sz w:val="24"/>
        </w:rPr>
        <w:t xml:space="preserve"> (Velthuis, 2005)</w:t>
      </w:r>
      <w:r w:rsidR="00602116" w:rsidRPr="00F63E07">
        <w:rPr>
          <w:rFonts w:ascii="Times New Roman" w:hAnsi="Times New Roman" w:cs="Times New Roman"/>
          <w:sz w:val="24"/>
        </w:rPr>
        <w:t>. In relation to diversity,</w:t>
      </w:r>
      <w:r w:rsidR="00763209">
        <w:rPr>
          <w:rFonts w:ascii="Times New Roman" w:hAnsi="Times New Roman" w:cs="Times New Roman"/>
          <w:sz w:val="24"/>
        </w:rPr>
        <w:t xml:space="preserve"> cultural inequalities do not necessarily concern gender or race, but </w:t>
      </w:r>
      <w:r w:rsidR="004C61A7">
        <w:rPr>
          <w:rFonts w:ascii="Times New Roman" w:hAnsi="Times New Roman" w:cs="Times New Roman"/>
          <w:sz w:val="24"/>
        </w:rPr>
        <w:t xml:space="preserve">predominantly </w:t>
      </w:r>
      <w:r w:rsidR="00763209">
        <w:rPr>
          <w:rFonts w:ascii="Times New Roman" w:hAnsi="Times New Roman" w:cs="Times New Roman"/>
          <w:sz w:val="24"/>
        </w:rPr>
        <w:t>class as</w:t>
      </w:r>
      <w:r w:rsidR="00602116" w:rsidRPr="00F63E07">
        <w:rPr>
          <w:rFonts w:ascii="Times New Roman" w:hAnsi="Times New Roman" w:cs="Times New Roman"/>
          <w:sz w:val="24"/>
        </w:rPr>
        <w:t xml:space="preserve"> elite networks </w:t>
      </w:r>
      <w:r w:rsidR="00763209">
        <w:rPr>
          <w:rFonts w:ascii="Times New Roman" w:hAnsi="Times New Roman" w:cs="Times New Roman"/>
          <w:sz w:val="24"/>
        </w:rPr>
        <w:t>tend</w:t>
      </w:r>
      <w:r w:rsidR="00602116" w:rsidRPr="00F63E07">
        <w:rPr>
          <w:rFonts w:ascii="Times New Roman" w:hAnsi="Times New Roman" w:cs="Times New Roman"/>
          <w:sz w:val="24"/>
        </w:rPr>
        <w:t xml:space="preserve"> to reproduce the</w:t>
      </w:r>
      <w:r w:rsidR="00763209">
        <w:rPr>
          <w:rFonts w:ascii="Times New Roman" w:hAnsi="Times New Roman" w:cs="Times New Roman"/>
          <w:sz w:val="24"/>
        </w:rPr>
        <w:t xml:space="preserve">ir structure and </w:t>
      </w:r>
      <w:r w:rsidR="00602116" w:rsidRPr="00F63E07">
        <w:rPr>
          <w:rFonts w:ascii="Times New Roman" w:hAnsi="Times New Roman" w:cs="Times New Roman"/>
          <w:sz w:val="24"/>
        </w:rPr>
        <w:t>norm</w:t>
      </w:r>
      <w:r w:rsidR="00763209">
        <w:rPr>
          <w:rFonts w:ascii="Times New Roman" w:hAnsi="Times New Roman" w:cs="Times New Roman"/>
          <w:sz w:val="24"/>
        </w:rPr>
        <w:t>s</w:t>
      </w:r>
      <w:r w:rsidR="00602116" w:rsidRPr="00F63E07">
        <w:rPr>
          <w:rFonts w:ascii="Times New Roman" w:hAnsi="Times New Roman" w:cs="Times New Roman"/>
          <w:sz w:val="24"/>
        </w:rPr>
        <w:t xml:space="preserve"> in order to maintain power</w:t>
      </w:r>
      <w:r w:rsidR="00763209">
        <w:rPr>
          <w:rFonts w:ascii="Times New Roman" w:hAnsi="Times New Roman" w:cs="Times New Roman"/>
          <w:sz w:val="24"/>
        </w:rPr>
        <w:t>, while constraining new agents to emerge</w:t>
      </w:r>
      <w:r w:rsidR="00602116" w:rsidRPr="00F63E07">
        <w:rPr>
          <w:rFonts w:ascii="Times New Roman" w:hAnsi="Times New Roman" w:cs="Times New Roman"/>
          <w:sz w:val="24"/>
        </w:rPr>
        <w:t xml:space="preserve"> from the margins. This explains the increased importance of alternative funding sources based on digital technologies, such as crowdfunding, to support projects which do not attract the interest of investors or the establishment.</w:t>
      </w:r>
    </w:p>
    <w:p w:rsidR="00FB3AD9" w:rsidRPr="00F63E07" w:rsidRDefault="00F63E07" w:rsidP="00F63E07">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T</w:t>
      </w:r>
      <w:r w:rsidR="00FB3AD9" w:rsidRPr="00F63E07">
        <w:rPr>
          <w:rFonts w:ascii="Times New Roman" w:hAnsi="Times New Roman" w:cs="Times New Roman"/>
          <w:sz w:val="24"/>
        </w:rPr>
        <w:t>he economic crisis has led to more austerity in artistic field, resulting into cuttings in public spending towards the arts. As a result, cultural institutions rely more on private sources and sponsorships in order to survive</w:t>
      </w:r>
      <w:r w:rsidR="00602116" w:rsidRPr="00F63E07">
        <w:rPr>
          <w:rFonts w:ascii="Times New Roman" w:hAnsi="Times New Roman" w:cs="Times New Roman"/>
          <w:sz w:val="24"/>
        </w:rPr>
        <w:t xml:space="preserve">. </w:t>
      </w:r>
      <w:r w:rsidR="00FB3AD9" w:rsidRPr="00F63E07">
        <w:rPr>
          <w:rFonts w:ascii="Times New Roman" w:hAnsi="Times New Roman" w:cs="Times New Roman"/>
          <w:sz w:val="24"/>
        </w:rPr>
        <w:t xml:space="preserve"> </w:t>
      </w:r>
      <w:r w:rsidR="00602116" w:rsidRPr="00F63E07">
        <w:rPr>
          <w:rFonts w:ascii="Times New Roman" w:hAnsi="Times New Roman" w:cs="Times New Roman"/>
          <w:sz w:val="24"/>
        </w:rPr>
        <w:t xml:space="preserve">Neo-liberal policies within </w:t>
      </w:r>
      <w:r w:rsidR="00763209" w:rsidRPr="00F63E07">
        <w:rPr>
          <w:rFonts w:ascii="Times New Roman" w:hAnsi="Times New Roman" w:cs="Times New Roman"/>
          <w:sz w:val="24"/>
        </w:rPr>
        <w:t>museums</w:t>
      </w:r>
      <w:r w:rsidR="00763209">
        <w:rPr>
          <w:rFonts w:ascii="Times New Roman" w:hAnsi="Times New Roman" w:cs="Times New Roman"/>
          <w:sz w:val="24"/>
        </w:rPr>
        <w:t xml:space="preserve"> and high entrance prices</w:t>
      </w:r>
      <w:r w:rsidR="00602116" w:rsidRPr="00F63E07">
        <w:rPr>
          <w:rFonts w:ascii="Times New Roman" w:hAnsi="Times New Roman" w:cs="Times New Roman"/>
          <w:sz w:val="24"/>
        </w:rPr>
        <w:t xml:space="preserve"> </w:t>
      </w:r>
      <w:r w:rsidR="004C61A7">
        <w:rPr>
          <w:rFonts w:ascii="Times New Roman" w:hAnsi="Times New Roman" w:cs="Times New Roman"/>
          <w:sz w:val="24"/>
        </w:rPr>
        <w:t>explain why only 13% of</w:t>
      </w:r>
      <w:r w:rsidR="00392A31" w:rsidRPr="00F63E07">
        <w:rPr>
          <w:rFonts w:ascii="Times New Roman" w:hAnsi="Times New Roman" w:cs="Times New Roman"/>
          <w:sz w:val="24"/>
        </w:rPr>
        <w:t xml:space="preserve"> low </w:t>
      </w:r>
      <w:r w:rsidR="00602116" w:rsidRPr="00F63E07">
        <w:rPr>
          <w:rFonts w:ascii="Times New Roman" w:hAnsi="Times New Roman" w:cs="Times New Roman"/>
          <w:sz w:val="24"/>
        </w:rPr>
        <w:t xml:space="preserve">socio-economic groups </w:t>
      </w:r>
      <w:r w:rsidR="004C61A7">
        <w:rPr>
          <w:rFonts w:ascii="Times New Roman" w:hAnsi="Times New Roman" w:cs="Times New Roman"/>
          <w:sz w:val="24"/>
        </w:rPr>
        <w:t>visit museums</w:t>
      </w:r>
      <w:r w:rsidR="00602116" w:rsidRPr="00F63E07">
        <w:rPr>
          <w:rFonts w:ascii="Times New Roman" w:hAnsi="Times New Roman" w:cs="Times New Roman"/>
          <w:sz w:val="24"/>
        </w:rPr>
        <w:t xml:space="preserve"> despite the deliberate effort of art institutions for community enhancement</w:t>
      </w:r>
      <w:r w:rsidR="001B36F8">
        <w:rPr>
          <w:rFonts w:ascii="Times New Roman" w:hAnsi="Times New Roman" w:cs="Times New Roman"/>
          <w:sz w:val="24"/>
        </w:rPr>
        <w:t xml:space="preserve"> (</w:t>
      </w:r>
      <w:r w:rsidR="001B36F8" w:rsidRPr="00F63E07">
        <w:rPr>
          <w:rFonts w:ascii="Times New Roman" w:hAnsi="Times New Roman" w:cs="Times New Roman"/>
          <w:sz w:val="24"/>
        </w:rPr>
        <w:t>Hesmondhalgh et al., 2015</w:t>
      </w:r>
      <w:r w:rsidR="001B36F8">
        <w:rPr>
          <w:rFonts w:ascii="Times New Roman" w:hAnsi="Times New Roman" w:cs="Times New Roman"/>
          <w:sz w:val="24"/>
        </w:rPr>
        <w:t xml:space="preserve">; </w:t>
      </w:r>
      <w:r w:rsidR="001B36F8">
        <w:rPr>
          <w:rFonts w:ascii="Times New Roman" w:hAnsi="Times New Roman" w:cs="Times New Roman"/>
          <w:sz w:val="24"/>
        </w:rPr>
        <w:t>Neelands et al.</w:t>
      </w:r>
      <w:r w:rsidR="001B36F8">
        <w:rPr>
          <w:rFonts w:ascii="Times New Roman" w:hAnsi="Times New Roman" w:cs="Times New Roman"/>
          <w:sz w:val="24"/>
        </w:rPr>
        <w:t xml:space="preserve">, </w:t>
      </w:r>
      <w:r w:rsidR="001B36F8" w:rsidRPr="00F63E07">
        <w:rPr>
          <w:rFonts w:ascii="Times New Roman" w:hAnsi="Times New Roman" w:cs="Times New Roman"/>
          <w:sz w:val="24"/>
        </w:rPr>
        <w:t>2015</w:t>
      </w:r>
      <w:r w:rsidR="001B36F8">
        <w:rPr>
          <w:rFonts w:ascii="Times New Roman" w:hAnsi="Times New Roman" w:cs="Times New Roman"/>
          <w:sz w:val="24"/>
        </w:rPr>
        <w:t>)</w:t>
      </w:r>
      <w:r w:rsidR="00602116" w:rsidRPr="00F63E07">
        <w:rPr>
          <w:rFonts w:ascii="Times New Roman" w:hAnsi="Times New Roman" w:cs="Times New Roman"/>
          <w:sz w:val="24"/>
        </w:rPr>
        <w:t xml:space="preserve">. </w:t>
      </w:r>
      <w:r w:rsidR="004C61A7">
        <w:rPr>
          <w:rFonts w:ascii="Times New Roman" w:hAnsi="Times New Roman" w:cs="Times New Roman"/>
          <w:sz w:val="24"/>
        </w:rPr>
        <w:t>In addition</w:t>
      </w:r>
      <w:r w:rsidR="001B36F8">
        <w:rPr>
          <w:rFonts w:ascii="Times New Roman" w:hAnsi="Times New Roman" w:cs="Times New Roman"/>
          <w:sz w:val="24"/>
        </w:rPr>
        <w:t xml:space="preserve">, </w:t>
      </w:r>
      <w:r w:rsidR="00602116" w:rsidRPr="00F63E07">
        <w:rPr>
          <w:rFonts w:ascii="Times New Roman" w:hAnsi="Times New Roman" w:cs="Times New Roman"/>
          <w:sz w:val="24"/>
        </w:rPr>
        <w:t xml:space="preserve">a concentration of resources </w:t>
      </w:r>
      <w:r w:rsidR="001B36F8">
        <w:rPr>
          <w:rFonts w:ascii="Times New Roman" w:hAnsi="Times New Roman" w:cs="Times New Roman"/>
          <w:sz w:val="24"/>
        </w:rPr>
        <w:t>in</w:t>
      </w:r>
      <w:r w:rsidR="00602116" w:rsidRPr="00F63E07">
        <w:rPr>
          <w:rFonts w:ascii="Times New Roman" w:hAnsi="Times New Roman" w:cs="Times New Roman"/>
          <w:sz w:val="24"/>
        </w:rPr>
        <w:t xml:space="preserve"> </w:t>
      </w:r>
      <w:r w:rsidR="001B36F8">
        <w:rPr>
          <w:rFonts w:ascii="Times New Roman" w:hAnsi="Times New Roman" w:cs="Times New Roman"/>
          <w:sz w:val="24"/>
        </w:rPr>
        <w:t xml:space="preserve">art institutions like the </w:t>
      </w:r>
      <w:r w:rsidR="00602116" w:rsidRPr="00F63E07">
        <w:rPr>
          <w:rFonts w:ascii="Times New Roman" w:hAnsi="Times New Roman" w:cs="Times New Roman"/>
          <w:sz w:val="24"/>
        </w:rPr>
        <w:t xml:space="preserve">Tate </w:t>
      </w:r>
      <w:r w:rsidR="001B36F8">
        <w:rPr>
          <w:rFonts w:ascii="Times New Roman" w:hAnsi="Times New Roman" w:cs="Times New Roman"/>
          <w:sz w:val="24"/>
        </w:rPr>
        <w:t>is observed</w:t>
      </w:r>
      <w:r w:rsidR="001B36F8">
        <w:rPr>
          <w:rFonts w:ascii="Times New Roman" w:hAnsi="Times New Roman" w:cs="Times New Roman"/>
          <w:sz w:val="24"/>
        </w:rPr>
        <w:t>,</w:t>
      </w:r>
      <w:r w:rsidR="001B36F8" w:rsidRPr="00F63E07">
        <w:rPr>
          <w:rFonts w:ascii="Times New Roman" w:hAnsi="Times New Roman" w:cs="Times New Roman"/>
          <w:sz w:val="24"/>
        </w:rPr>
        <w:t xml:space="preserve"> </w:t>
      </w:r>
      <w:r w:rsidR="00602116" w:rsidRPr="00F63E07">
        <w:rPr>
          <w:rFonts w:ascii="Times New Roman" w:hAnsi="Times New Roman" w:cs="Times New Roman"/>
          <w:sz w:val="24"/>
        </w:rPr>
        <w:t xml:space="preserve">which receives around the 60% of public funding </w:t>
      </w:r>
      <w:r w:rsidR="001B36F8">
        <w:rPr>
          <w:rFonts w:ascii="Times New Roman" w:hAnsi="Times New Roman" w:cs="Times New Roman"/>
          <w:sz w:val="24"/>
        </w:rPr>
        <w:t>for</w:t>
      </w:r>
      <w:r w:rsidR="00602116" w:rsidRPr="00F63E07">
        <w:rPr>
          <w:rFonts w:ascii="Times New Roman" w:hAnsi="Times New Roman" w:cs="Times New Roman"/>
          <w:sz w:val="24"/>
        </w:rPr>
        <w:t xml:space="preserve"> visual arts</w:t>
      </w:r>
      <w:r w:rsidR="001B36F8">
        <w:rPr>
          <w:rFonts w:ascii="Times New Roman" w:hAnsi="Times New Roman" w:cs="Times New Roman"/>
          <w:sz w:val="24"/>
        </w:rPr>
        <w:t xml:space="preserve"> (Pooke, 2011)</w:t>
      </w:r>
      <w:r w:rsidR="00602116" w:rsidRPr="00F63E07">
        <w:rPr>
          <w:rFonts w:ascii="Times New Roman" w:hAnsi="Times New Roman" w:cs="Times New Roman"/>
          <w:sz w:val="24"/>
        </w:rPr>
        <w:t xml:space="preserve">. Based on </w:t>
      </w:r>
      <w:r w:rsidR="004C61A7">
        <w:rPr>
          <w:rFonts w:ascii="Times New Roman" w:hAnsi="Times New Roman" w:cs="Times New Roman"/>
          <w:sz w:val="24"/>
        </w:rPr>
        <w:t>a</w:t>
      </w:r>
      <w:r w:rsidR="00602116" w:rsidRPr="00F63E07">
        <w:rPr>
          <w:rFonts w:ascii="Times New Roman" w:hAnsi="Times New Roman" w:cs="Times New Roman"/>
          <w:sz w:val="24"/>
        </w:rPr>
        <w:t xml:space="preserve"> massive scale of operations, Tate </w:t>
      </w:r>
      <w:r w:rsidR="001B36F8">
        <w:rPr>
          <w:rFonts w:ascii="Times New Roman" w:hAnsi="Times New Roman" w:cs="Times New Roman"/>
          <w:sz w:val="24"/>
        </w:rPr>
        <w:t xml:space="preserve">engages in new business development, such as the recent expansion </w:t>
      </w:r>
      <w:r w:rsidR="004C61A7">
        <w:rPr>
          <w:rFonts w:ascii="Times New Roman" w:hAnsi="Times New Roman" w:cs="Times New Roman"/>
          <w:sz w:val="24"/>
        </w:rPr>
        <w:t xml:space="preserve">plan in order </w:t>
      </w:r>
      <w:r w:rsidR="001B36F8">
        <w:rPr>
          <w:rFonts w:ascii="Times New Roman" w:hAnsi="Times New Roman" w:cs="Times New Roman"/>
          <w:sz w:val="24"/>
        </w:rPr>
        <w:t>to create a platform that attracts sponsorships and broader audience. Public m</w:t>
      </w:r>
      <w:r w:rsidR="004012AB" w:rsidRPr="00F63E07">
        <w:rPr>
          <w:rFonts w:ascii="Times New Roman" w:hAnsi="Times New Roman" w:cs="Times New Roman"/>
          <w:sz w:val="24"/>
        </w:rPr>
        <w:t xml:space="preserve">useums, like the Tate, </w:t>
      </w:r>
      <w:r w:rsidR="001B36F8">
        <w:rPr>
          <w:rFonts w:ascii="Times New Roman" w:hAnsi="Times New Roman" w:cs="Times New Roman"/>
          <w:sz w:val="24"/>
        </w:rPr>
        <w:t>represent</w:t>
      </w:r>
      <w:r w:rsidR="004012AB" w:rsidRPr="00F63E07">
        <w:rPr>
          <w:rFonts w:ascii="Times New Roman" w:hAnsi="Times New Roman" w:cs="Times New Roman"/>
          <w:sz w:val="24"/>
        </w:rPr>
        <w:t xml:space="preserve"> less </w:t>
      </w:r>
      <w:r w:rsidR="004C61A7">
        <w:rPr>
          <w:rFonts w:ascii="Times New Roman" w:hAnsi="Times New Roman" w:cs="Times New Roman"/>
          <w:sz w:val="24"/>
        </w:rPr>
        <w:t xml:space="preserve">of </w:t>
      </w:r>
      <w:r w:rsidR="001B36F8">
        <w:rPr>
          <w:rFonts w:ascii="Times New Roman" w:hAnsi="Times New Roman" w:cs="Times New Roman"/>
          <w:sz w:val="24"/>
        </w:rPr>
        <w:t>a public sphere in which</w:t>
      </w:r>
      <w:r w:rsidR="004012AB" w:rsidRPr="00F63E07">
        <w:rPr>
          <w:rFonts w:ascii="Times New Roman" w:hAnsi="Times New Roman" w:cs="Times New Roman"/>
          <w:sz w:val="24"/>
        </w:rPr>
        <w:t xml:space="preserve"> culture is negotiated</w:t>
      </w:r>
      <w:r w:rsidR="001B36F8">
        <w:rPr>
          <w:rFonts w:ascii="Times New Roman" w:hAnsi="Times New Roman" w:cs="Times New Roman"/>
          <w:sz w:val="24"/>
        </w:rPr>
        <w:t xml:space="preserve"> (Alberro, 2009)</w:t>
      </w:r>
      <w:r w:rsidR="004012AB" w:rsidRPr="00F63E07">
        <w:rPr>
          <w:rFonts w:ascii="Times New Roman" w:hAnsi="Times New Roman" w:cs="Times New Roman"/>
          <w:sz w:val="24"/>
        </w:rPr>
        <w:t xml:space="preserve">, and more of neo-liberal vehicles that aim to generate revenues based on entertainment and </w:t>
      </w:r>
      <w:r w:rsidR="004C61A7">
        <w:rPr>
          <w:rFonts w:ascii="Times New Roman" w:hAnsi="Times New Roman" w:cs="Times New Roman"/>
          <w:sz w:val="24"/>
        </w:rPr>
        <w:t>a</w:t>
      </w:r>
      <w:r w:rsidR="004012AB" w:rsidRPr="00F63E07">
        <w:rPr>
          <w:rFonts w:ascii="Times New Roman" w:hAnsi="Times New Roman" w:cs="Times New Roman"/>
          <w:sz w:val="24"/>
        </w:rPr>
        <w:t xml:space="preserve"> ‘culture of spectacle’ (Schubert, 2009).</w:t>
      </w:r>
    </w:p>
    <w:p w:rsidR="009E5871" w:rsidRPr="00F63E07" w:rsidRDefault="003A168C" w:rsidP="00F63E07">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lastRenderedPageBreak/>
        <w:t xml:space="preserve">This research </w:t>
      </w:r>
      <w:r w:rsidR="00F63E07" w:rsidRPr="00F63E07">
        <w:rPr>
          <w:rFonts w:ascii="Times New Roman" w:hAnsi="Times New Roman" w:cs="Times New Roman"/>
          <w:sz w:val="24"/>
        </w:rPr>
        <w:t>argues</w:t>
      </w:r>
      <w:r w:rsidRPr="00F63E07">
        <w:rPr>
          <w:rFonts w:ascii="Times New Roman" w:hAnsi="Times New Roman" w:cs="Times New Roman"/>
          <w:sz w:val="24"/>
        </w:rPr>
        <w:t xml:space="preserve"> that the recent economic crisis has intensified the interest of high net worth individuals for the arts, entangling arts </w:t>
      </w:r>
      <w:r w:rsidR="004C61A7">
        <w:rPr>
          <w:rFonts w:ascii="Times New Roman" w:hAnsi="Times New Roman" w:cs="Times New Roman"/>
          <w:sz w:val="24"/>
        </w:rPr>
        <w:t xml:space="preserve">more </w:t>
      </w:r>
      <w:r w:rsidRPr="00F63E07">
        <w:rPr>
          <w:rFonts w:ascii="Times New Roman" w:hAnsi="Times New Roman" w:cs="Times New Roman"/>
          <w:sz w:val="24"/>
        </w:rPr>
        <w:t xml:space="preserve">strongly with the dynamics of commerce. </w:t>
      </w:r>
      <w:r w:rsidR="00F63E07" w:rsidRPr="00F63E07">
        <w:rPr>
          <w:rFonts w:ascii="Times New Roman" w:hAnsi="Times New Roman" w:cs="Times New Roman"/>
          <w:sz w:val="24"/>
        </w:rPr>
        <w:t>C</w:t>
      </w:r>
      <w:r w:rsidRPr="00F63E07">
        <w:rPr>
          <w:rFonts w:ascii="Times New Roman" w:hAnsi="Times New Roman" w:cs="Times New Roman"/>
          <w:sz w:val="24"/>
        </w:rPr>
        <w:t xml:space="preserve">onspicuous consumption is </w:t>
      </w:r>
      <w:r w:rsidR="00F63E07" w:rsidRPr="00F63E07">
        <w:rPr>
          <w:rFonts w:ascii="Times New Roman" w:hAnsi="Times New Roman" w:cs="Times New Roman"/>
          <w:sz w:val="24"/>
        </w:rPr>
        <w:t xml:space="preserve">certainly </w:t>
      </w:r>
      <w:r w:rsidRPr="00F63E07">
        <w:rPr>
          <w:rFonts w:ascii="Times New Roman" w:hAnsi="Times New Roman" w:cs="Times New Roman"/>
          <w:sz w:val="24"/>
        </w:rPr>
        <w:t xml:space="preserve">not a new </w:t>
      </w:r>
      <w:r w:rsidR="00F63E07" w:rsidRPr="00F63E07">
        <w:rPr>
          <w:rFonts w:ascii="Times New Roman" w:hAnsi="Times New Roman" w:cs="Times New Roman"/>
          <w:sz w:val="24"/>
        </w:rPr>
        <w:t>phenomenon</w:t>
      </w:r>
      <w:r w:rsidRPr="00F63E07">
        <w:rPr>
          <w:rFonts w:ascii="Times New Roman" w:hAnsi="Times New Roman" w:cs="Times New Roman"/>
          <w:sz w:val="24"/>
        </w:rPr>
        <w:t xml:space="preserve"> (Veblen, 1899), </w:t>
      </w:r>
      <w:r w:rsidR="00F63E07" w:rsidRPr="00F63E07">
        <w:rPr>
          <w:rFonts w:ascii="Times New Roman" w:hAnsi="Times New Roman" w:cs="Times New Roman"/>
          <w:sz w:val="24"/>
        </w:rPr>
        <w:t xml:space="preserve">as high art </w:t>
      </w:r>
      <w:r w:rsidR="00FD0AC7">
        <w:rPr>
          <w:rFonts w:ascii="Times New Roman" w:hAnsi="Times New Roman" w:cs="Times New Roman"/>
          <w:sz w:val="24"/>
        </w:rPr>
        <w:t xml:space="preserve">systematically </w:t>
      </w:r>
      <w:r w:rsidR="00F63E07" w:rsidRPr="00F63E07">
        <w:rPr>
          <w:rFonts w:ascii="Times New Roman" w:hAnsi="Times New Roman" w:cs="Times New Roman"/>
          <w:sz w:val="24"/>
        </w:rPr>
        <w:t>used to support the bourgeoisie to differentiate</w:t>
      </w:r>
      <w:r w:rsidR="00FD0AC7">
        <w:rPr>
          <w:rFonts w:ascii="Times New Roman" w:hAnsi="Times New Roman" w:cs="Times New Roman"/>
          <w:sz w:val="24"/>
        </w:rPr>
        <w:t xml:space="preserve"> its identity</w:t>
      </w:r>
      <w:r w:rsidR="00F63E07" w:rsidRPr="00F63E07">
        <w:rPr>
          <w:rFonts w:ascii="Times New Roman" w:hAnsi="Times New Roman" w:cs="Times New Roman"/>
          <w:sz w:val="24"/>
        </w:rPr>
        <w:t xml:space="preserve"> from lower </w:t>
      </w:r>
      <w:r w:rsidR="00FD0AC7">
        <w:rPr>
          <w:rFonts w:ascii="Times New Roman" w:hAnsi="Times New Roman" w:cs="Times New Roman"/>
          <w:sz w:val="24"/>
        </w:rPr>
        <w:t xml:space="preserve">social </w:t>
      </w:r>
      <w:r w:rsidR="00F63E07" w:rsidRPr="00F63E07">
        <w:rPr>
          <w:rFonts w:ascii="Times New Roman" w:hAnsi="Times New Roman" w:cs="Times New Roman"/>
          <w:sz w:val="24"/>
        </w:rPr>
        <w:t>classes (Bourdieu, 1993).</w:t>
      </w:r>
      <w:r w:rsidR="00F63E07">
        <w:rPr>
          <w:rFonts w:ascii="Times New Roman" w:hAnsi="Times New Roman" w:cs="Times New Roman"/>
          <w:sz w:val="24"/>
        </w:rPr>
        <w:t xml:space="preserve"> </w:t>
      </w:r>
      <w:r w:rsidR="00F24FB2" w:rsidRPr="00F63E07">
        <w:rPr>
          <w:rFonts w:ascii="Times New Roman" w:hAnsi="Times New Roman" w:cs="Times New Roman"/>
          <w:sz w:val="24"/>
        </w:rPr>
        <w:t>This paper expose</w:t>
      </w:r>
      <w:r w:rsidR="008949E3">
        <w:rPr>
          <w:rFonts w:ascii="Times New Roman" w:hAnsi="Times New Roman" w:cs="Times New Roman"/>
          <w:sz w:val="24"/>
        </w:rPr>
        <w:t>s</w:t>
      </w:r>
      <w:r w:rsidR="00F24FB2" w:rsidRPr="00F63E07">
        <w:rPr>
          <w:rFonts w:ascii="Times New Roman" w:hAnsi="Times New Roman" w:cs="Times New Roman"/>
          <w:sz w:val="24"/>
        </w:rPr>
        <w:t xml:space="preserve"> the gap between the discourse</w:t>
      </w:r>
      <w:r w:rsidR="008949E3">
        <w:rPr>
          <w:rFonts w:ascii="Times New Roman" w:hAnsi="Times New Roman" w:cs="Times New Roman"/>
          <w:sz w:val="24"/>
        </w:rPr>
        <w:t xml:space="preserve"> of cultural policy</w:t>
      </w:r>
      <w:r w:rsidR="00F24FB2" w:rsidRPr="00F63E07">
        <w:rPr>
          <w:rFonts w:ascii="Times New Roman" w:hAnsi="Times New Roman" w:cs="Times New Roman"/>
          <w:sz w:val="24"/>
        </w:rPr>
        <w:t xml:space="preserve"> </w:t>
      </w:r>
      <w:r w:rsidR="008949E3">
        <w:rPr>
          <w:rFonts w:ascii="Times New Roman" w:hAnsi="Times New Roman" w:cs="Times New Roman"/>
          <w:sz w:val="24"/>
        </w:rPr>
        <w:t xml:space="preserve">in the UK </w:t>
      </w:r>
      <w:r w:rsidR="00F24FB2" w:rsidRPr="00F63E07">
        <w:rPr>
          <w:rFonts w:ascii="Times New Roman" w:hAnsi="Times New Roman" w:cs="Times New Roman"/>
          <w:sz w:val="24"/>
        </w:rPr>
        <w:t xml:space="preserve">which celebrates diversity and the reality of artistic labour. </w:t>
      </w:r>
      <w:r w:rsidRPr="00F63E07">
        <w:rPr>
          <w:rFonts w:ascii="Times New Roman" w:hAnsi="Times New Roman" w:cs="Times New Roman"/>
          <w:sz w:val="24"/>
        </w:rPr>
        <w:t xml:space="preserve"> </w:t>
      </w:r>
      <w:r w:rsidR="008949E3">
        <w:rPr>
          <w:rFonts w:ascii="Times New Roman" w:hAnsi="Times New Roman" w:cs="Times New Roman"/>
          <w:sz w:val="24"/>
        </w:rPr>
        <w:t>T</w:t>
      </w:r>
      <w:r w:rsidR="00F24FB2" w:rsidRPr="00F63E07">
        <w:rPr>
          <w:rFonts w:ascii="Times New Roman" w:hAnsi="Times New Roman" w:cs="Times New Roman"/>
          <w:sz w:val="24"/>
        </w:rPr>
        <w:t xml:space="preserve">he </w:t>
      </w:r>
      <w:r w:rsidR="008949E3">
        <w:rPr>
          <w:rFonts w:ascii="Times New Roman" w:hAnsi="Times New Roman" w:cs="Times New Roman"/>
          <w:sz w:val="24"/>
        </w:rPr>
        <w:t xml:space="preserve">recent </w:t>
      </w:r>
      <w:r w:rsidR="00F24FB2" w:rsidRPr="00F63E07">
        <w:rPr>
          <w:rFonts w:ascii="Times New Roman" w:hAnsi="Times New Roman" w:cs="Times New Roman"/>
          <w:sz w:val="24"/>
        </w:rPr>
        <w:t>economic crisis has intensified the dominance of the economic field to the artistic field (Bourdieu, 1993), despite the common belief according to which in times of crisis art is liberated from the constraints of power leading the society as a true avant-garde (</w:t>
      </w:r>
      <w:r w:rsidR="001B36F8">
        <w:rPr>
          <w:rFonts w:ascii="Times New Roman" w:hAnsi="Times New Roman" w:cs="Times New Roman"/>
          <w:sz w:val="24"/>
        </w:rPr>
        <w:t>Cottington</w:t>
      </w:r>
      <w:r w:rsidR="00F24FB2" w:rsidRPr="00F63E07">
        <w:rPr>
          <w:rFonts w:ascii="Times New Roman" w:hAnsi="Times New Roman" w:cs="Times New Roman"/>
          <w:sz w:val="24"/>
        </w:rPr>
        <w:t>, 2013).</w:t>
      </w:r>
    </w:p>
    <w:p w:rsidR="00C003CC" w:rsidRPr="00F63E07" w:rsidRDefault="00682A6A" w:rsidP="00682A6A">
      <w:pPr>
        <w:spacing w:before="240" w:after="0" w:line="360" w:lineRule="auto"/>
        <w:jc w:val="both"/>
        <w:rPr>
          <w:rFonts w:ascii="Times New Roman" w:hAnsi="Times New Roman" w:cs="Times New Roman"/>
          <w:sz w:val="24"/>
        </w:rPr>
      </w:pPr>
      <w:r>
        <w:rPr>
          <w:rFonts w:ascii="Times New Roman" w:hAnsi="Times New Roman" w:cs="Times New Roman"/>
          <w:sz w:val="24"/>
        </w:rPr>
        <w:t>Sustainable</w:t>
      </w:r>
      <w:r w:rsidR="00DD6A6F" w:rsidRPr="00F63E07">
        <w:rPr>
          <w:rFonts w:ascii="Times New Roman" w:hAnsi="Times New Roman" w:cs="Times New Roman"/>
          <w:sz w:val="24"/>
        </w:rPr>
        <w:t xml:space="preserve"> growth in the artistic field means more opportunities for emerging artists and </w:t>
      </w:r>
      <w:r w:rsidR="008949E3">
        <w:rPr>
          <w:rFonts w:ascii="Times New Roman" w:hAnsi="Times New Roman" w:cs="Times New Roman"/>
          <w:sz w:val="24"/>
        </w:rPr>
        <w:t>art graduates in</w:t>
      </w:r>
      <w:r w:rsidR="00DD6A6F" w:rsidRPr="00F63E07">
        <w:rPr>
          <w:rFonts w:ascii="Times New Roman" w:hAnsi="Times New Roman" w:cs="Times New Roman"/>
          <w:sz w:val="24"/>
        </w:rPr>
        <w:t xml:space="preserve"> the job market. </w:t>
      </w:r>
      <w:r w:rsidR="001B36F8">
        <w:rPr>
          <w:rFonts w:ascii="Times New Roman" w:hAnsi="Times New Roman" w:cs="Times New Roman"/>
          <w:sz w:val="24"/>
        </w:rPr>
        <w:t xml:space="preserve">For this reason, this paper concentrates on the employment conditions for artistic labour within the recent economic crisis. By investigating the role of arts in society and economy, this research argues for </w:t>
      </w:r>
      <w:r w:rsidR="008949E3">
        <w:rPr>
          <w:rFonts w:ascii="Times New Roman" w:hAnsi="Times New Roman" w:cs="Times New Roman"/>
          <w:sz w:val="24"/>
        </w:rPr>
        <w:t xml:space="preserve">a </w:t>
      </w:r>
      <w:r>
        <w:rPr>
          <w:rFonts w:ascii="Times New Roman" w:hAnsi="Times New Roman" w:cs="Times New Roman"/>
          <w:sz w:val="24"/>
        </w:rPr>
        <w:t xml:space="preserve">cultural policy that </w:t>
      </w:r>
      <w:r w:rsidR="008949E3">
        <w:rPr>
          <w:rFonts w:ascii="Times New Roman" w:hAnsi="Times New Roman" w:cs="Times New Roman"/>
          <w:sz w:val="24"/>
        </w:rPr>
        <w:t xml:space="preserve">highlights the importance of localities and </w:t>
      </w:r>
      <w:r>
        <w:rPr>
          <w:rFonts w:ascii="Times New Roman" w:hAnsi="Times New Roman" w:cs="Times New Roman"/>
          <w:sz w:val="24"/>
        </w:rPr>
        <w:t xml:space="preserve">focuses more on </w:t>
      </w:r>
      <w:r w:rsidR="008949E3">
        <w:rPr>
          <w:rFonts w:ascii="Times New Roman" w:hAnsi="Times New Roman" w:cs="Times New Roman"/>
          <w:sz w:val="24"/>
        </w:rPr>
        <w:t xml:space="preserve">bettering </w:t>
      </w:r>
      <w:r>
        <w:rPr>
          <w:rFonts w:ascii="Times New Roman" w:hAnsi="Times New Roman" w:cs="Times New Roman"/>
          <w:sz w:val="24"/>
        </w:rPr>
        <w:t>the conditions of artistic labour</w:t>
      </w:r>
      <w:r w:rsidR="008949E3">
        <w:rPr>
          <w:rFonts w:ascii="Times New Roman" w:hAnsi="Times New Roman" w:cs="Times New Roman"/>
          <w:sz w:val="24"/>
        </w:rPr>
        <w:t xml:space="preserve">. Such cultural policy will reveal </w:t>
      </w:r>
      <w:r>
        <w:rPr>
          <w:rFonts w:ascii="Times New Roman" w:hAnsi="Times New Roman" w:cs="Times New Roman"/>
          <w:sz w:val="24"/>
        </w:rPr>
        <w:t>the</w:t>
      </w:r>
      <w:r w:rsidRPr="00F63E07">
        <w:rPr>
          <w:rFonts w:ascii="Times New Roman" w:hAnsi="Times New Roman" w:cs="Times New Roman"/>
          <w:sz w:val="24"/>
        </w:rPr>
        <w:t xml:space="preserve"> intrinsic </w:t>
      </w:r>
      <w:r>
        <w:rPr>
          <w:rFonts w:ascii="Times New Roman" w:hAnsi="Times New Roman" w:cs="Times New Roman"/>
          <w:sz w:val="24"/>
        </w:rPr>
        <w:t>value</w:t>
      </w:r>
      <w:r w:rsidRPr="00F63E07">
        <w:rPr>
          <w:rFonts w:ascii="Times New Roman" w:hAnsi="Times New Roman" w:cs="Times New Roman"/>
          <w:sz w:val="24"/>
        </w:rPr>
        <w:t xml:space="preserve"> of </w:t>
      </w:r>
      <w:r>
        <w:rPr>
          <w:rFonts w:ascii="Times New Roman" w:hAnsi="Times New Roman" w:cs="Times New Roman"/>
          <w:sz w:val="24"/>
        </w:rPr>
        <w:t>the A</w:t>
      </w:r>
      <w:r w:rsidRPr="00F63E07">
        <w:rPr>
          <w:rFonts w:ascii="Times New Roman" w:hAnsi="Times New Roman" w:cs="Times New Roman"/>
          <w:sz w:val="24"/>
        </w:rPr>
        <w:t>rts in terms of</w:t>
      </w:r>
      <w:r>
        <w:rPr>
          <w:rFonts w:ascii="Times New Roman" w:hAnsi="Times New Roman" w:cs="Times New Roman"/>
          <w:sz w:val="24"/>
        </w:rPr>
        <w:t xml:space="preserve"> supporting continuous</w:t>
      </w:r>
      <w:r w:rsidRPr="00F63E07">
        <w:rPr>
          <w:rFonts w:ascii="Times New Roman" w:hAnsi="Times New Roman" w:cs="Times New Roman"/>
          <w:sz w:val="24"/>
        </w:rPr>
        <w:t xml:space="preserve"> education, enhancing creativity of individuals, </w:t>
      </w:r>
      <w:r>
        <w:rPr>
          <w:rFonts w:ascii="Times New Roman" w:hAnsi="Times New Roman" w:cs="Times New Roman"/>
          <w:sz w:val="24"/>
        </w:rPr>
        <w:t xml:space="preserve">promoting </w:t>
      </w:r>
      <w:r w:rsidRPr="00F63E07">
        <w:rPr>
          <w:rFonts w:ascii="Times New Roman" w:hAnsi="Times New Roman" w:cs="Times New Roman"/>
          <w:sz w:val="24"/>
        </w:rPr>
        <w:t xml:space="preserve">cultural heritage, and improving well-being </w:t>
      </w:r>
      <w:r>
        <w:rPr>
          <w:rFonts w:ascii="Times New Roman" w:hAnsi="Times New Roman" w:cs="Times New Roman"/>
          <w:sz w:val="24"/>
        </w:rPr>
        <w:t>of citizens</w:t>
      </w:r>
      <w:r w:rsidRPr="00F63E07">
        <w:rPr>
          <w:rFonts w:ascii="Times New Roman" w:hAnsi="Times New Roman" w:cs="Times New Roman"/>
          <w:sz w:val="24"/>
        </w:rPr>
        <w:t xml:space="preserve"> (Heilbrun &amp; Gray, 2001). In other words, having access to culture is a basic human right, and at the same time, participation in cultural life is </w:t>
      </w:r>
      <w:r>
        <w:rPr>
          <w:rFonts w:ascii="Times New Roman" w:hAnsi="Times New Roman" w:cs="Times New Roman"/>
          <w:sz w:val="24"/>
        </w:rPr>
        <w:t>a way for securing diversity within a democratic society.</w:t>
      </w:r>
    </w:p>
    <w:p w:rsidR="00F63E07" w:rsidRDefault="00F63E07">
      <w:pPr>
        <w:rPr>
          <w:rFonts w:ascii="Times New Roman" w:hAnsi="Times New Roman" w:cs="Times New Roman"/>
          <w:b/>
          <w:sz w:val="24"/>
        </w:rPr>
      </w:pPr>
      <w:r>
        <w:rPr>
          <w:rFonts w:ascii="Times New Roman" w:hAnsi="Times New Roman" w:cs="Times New Roman"/>
          <w:b/>
          <w:sz w:val="24"/>
        </w:rPr>
        <w:br w:type="page"/>
      </w:r>
    </w:p>
    <w:p w:rsidR="00F63E07" w:rsidRPr="00F63E07" w:rsidRDefault="00F63E07" w:rsidP="00F63E07">
      <w:pPr>
        <w:spacing w:before="240" w:after="0" w:line="360" w:lineRule="auto"/>
        <w:rPr>
          <w:rFonts w:ascii="Times New Roman" w:hAnsi="Times New Roman" w:cs="Times New Roman"/>
          <w:b/>
          <w:sz w:val="24"/>
        </w:rPr>
      </w:pPr>
      <w:r w:rsidRPr="00F63E07">
        <w:rPr>
          <w:rFonts w:ascii="Times New Roman" w:hAnsi="Times New Roman" w:cs="Times New Roman"/>
          <w:b/>
          <w:sz w:val="24"/>
        </w:rPr>
        <w:lastRenderedPageBreak/>
        <w:t>References</w:t>
      </w:r>
    </w:p>
    <w:p w:rsidR="001B36F8" w:rsidRPr="001B36F8" w:rsidRDefault="001B36F8" w:rsidP="004F250B">
      <w:pPr>
        <w:spacing w:before="240" w:after="0" w:line="360" w:lineRule="auto"/>
        <w:jc w:val="both"/>
        <w:rPr>
          <w:rFonts w:ascii="Times New Roman" w:hAnsi="Times New Roman" w:cs="Times New Roman"/>
          <w:bCs/>
          <w:sz w:val="24"/>
        </w:rPr>
      </w:pPr>
      <w:r w:rsidRPr="001B36F8">
        <w:rPr>
          <w:rFonts w:ascii="Times New Roman" w:hAnsi="Times New Roman" w:cs="Times New Roman"/>
          <w:bCs/>
          <w:sz w:val="24"/>
        </w:rPr>
        <w:t xml:space="preserve">Alberro, A. (2009). “Institutions, critique, and institutional critique”, in Alberro, A. &amp; Stimson, B., (eds.), </w:t>
      </w:r>
      <w:r w:rsidRPr="001B36F8">
        <w:rPr>
          <w:rFonts w:ascii="Times New Roman" w:hAnsi="Times New Roman" w:cs="Times New Roman"/>
          <w:bCs/>
          <w:i/>
          <w:sz w:val="24"/>
        </w:rPr>
        <w:t>Institutional Critique: An Anthology of Artists’ Writings</w:t>
      </w:r>
      <w:r w:rsidRPr="001B36F8">
        <w:rPr>
          <w:rFonts w:ascii="Times New Roman" w:hAnsi="Times New Roman" w:cs="Times New Roman"/>
          <w:bCs/>
          <w:sz w:val="24"/>
        </w:rPr>
        <w:t xml:space="preserve">, Massachusetts, </w:t>
      </w:r>
      <w:proofErr w:type="gramStart"/>
      <w:r w:rsidRPr="001B36F8">
        <w:rPr>
          <w:rFonts w:ascii="Times New Roman" w:hAnsi="Times New Roman" w:cs="Times New Roman"/>
          <w:bCs/>
          <w:sz w:val="24"/>
        </w:rPr>
        <w:t>London</w:t>
      </w:r>
      <w:proofErr w:type="gramEnd"/>
      <w:r w:rsidRPr="001B36F8">
        <w:rPr>
          <w:rFonts w:ascii="Times New Roman" w:hAnsi="Times New Roman" w:cs="Times New Roman"/>
          <w:bCs/>
          <w:sz w:val="24"/>
        </w:rPr>
        <w:t>: The MIT Press.</w:t>
      </w:r>
    </w:p>
    <w:p w:rsidR="00F63E07" w:rsidRPr="00F63E07" w:rsidRDefault="00F63E07" w:rsidP="004F250B">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 xml:space="preserve">Bourdieu, P. (1993). “The production of belief: Contribution to an economy of symbolic goods”, in Johnson, R. (ed.), </w:t>
      </w:r>
      <w:r w:rsidRPr="00F63E07">
        <w:rPr>
          <w:rFonts w:ascii="Times New Roman" w:hAnsi="Times New Roman" w:cs="Times New Roman"/>
          <w:i/>
          <w:sz w:val="24"/>
        </w:rPr>
        <w:t>The Field of Cultural Production</w:t>
      </w:r>
      <w:r w:rsidRPr="00F63E07">
        <w:rPr>
          <w:rFonts w:ascii="Times New Roman" w:hAnsi="Times New Roman" w:cs="Times New Roman"/>
          <w:sz w:val="24"/>
        </w:rPr>
        <w:t xml:space="preserve">, </w:t>
      </w:r>
      <w:proofErr w:type="gramStart"/>
      <w:r w:rsidRPr="00F63E07">
        <w:rPr>
          <w:rFonts w:ascii="Times New Roman" w:hAnsi="Times New Roman" w:cs="Times New Roman"/>
          <w:sz w:val="24"/>
        </w:rPr>
        <w:t>Cambridge</w:t>
      </w:r>
      <w:proofErr w:type="gramEnd"/>
      <w:r w:rsidRPr="00F63E07">
        <w:rPr>
          <w:rFonts w:ascii="Times New Roman" w:hAnsi="Times New Roman" w:cs="Times New Roman"/>
          <w:sz w:val="24"/>
        </w:rPr>
        <w:t>: Polity.</w:t>
      </w:r>
    </w:p>
    <w:p w:rsidR="001B36F8" w:rsidRDefault="00B76786" w:rsidP="004F250B">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 xml:space="preserve">Bridgstock, R. and Cunningham, S., 2016. Creative labour and graduate outcomes: implications for higher education and cultural policy. </w:t>
      </w:r>
      <w:proofErr w:type="gramStart"/>
      <w:r w:rsidRPr="00F63E07">
        <w:rPr>
          <w:rFonts w:ascii="Times New Roman" w:hAnsi="Times New Roman" w:cs="Times New Roman"/>
          <w:i/>
          <w:sz w:val="24"/>
        </w:rPr>
        <w:t>International Journal of Cultural Policy</w:t>
      </w:r>
      <w:r w:rsidRPr="00F63E07">
        <w:rPr>
          <w:rFonts w:ascii="Times New Roman" w:hAnsi="Times New Roman" w:cs="Times New Roman"/>
          <w:sz w:val="24"/>
        </w:rPr>
        <w:t>, 22(1), pp.10-26.</w:t>
      </w:r>
      <w:proofErr w:type="gramEnd"/>
    </w:p>
    <w:p w:rsidR="00000000" w:rsidRPr="001B36F8" w:rsidRDefault="005D62D8" w:rsidP="004F250B">
      <w:pPr>
        <w:spacing w:before="240" w:after="0" w:line="360" w:lineRule="auto"/>
        <w:jc w:val="both"/>
        <w:rPr>
          <w:rFonts w:ascii="Times New Roman" w:hAnsi="Times New Roman" w:cs="Times New Roman"/>
          <w:sz w:val="24"/>
        </w:rPr>
      </w:pPr>
      <w:r w:rsidRPr="001B36F8">
        <w:rPr>
          <w:rFonts w:ascii="Times New Roman" w:hAnsi="Times New Roman" w:cs="Times New Roman"/>
          <w:sz w:val="24"/>
        </w:rPr>
        <w:t xml:space="preserve">Cottington, D. (2013). </w:t>
      </w:r>
      <w:r w:rsidRPr="001B36F8">
        <w:rPr>
          <w:rFonts w:ascii="Times New Roman" w:hAnsi="Times New Roman" w:cs="Times New Roman"/>
          <w:i/>
          <w:iCs/>
          <w:sz w:val="24"/>
        </w:rPr>
        <w:t>The Avant-Garde: A Very Short Introduction</w:t>
      </w:r>
      <w:r w:rsidRPr="001B36F8">
        <w:rPr>
          <w:rFonts w:ascii="Times New Roman" w:hAnsi="Times New Roman" w:cs="Times New Roman"/>
          <w:sz w:val="24"/>
        </w:rPr>
        <w:t>, Oxford: Oxford University Press.</w:t>
      </w:r>
    </w:p>
    <w:p w:rsidR="00103679" w:rsidRPr="00F63E07" w:rsidRDefault="001B36F8" w:rsidP="004F250B">
      <w:pPr>
        <w:spacing w:before="240" w:after="0" w:line="360" w:lineRule="auto"/>
        <w:jc w:val="both"/>
        <w:rPr>
          <w:rFonts w:ascii="Times New Roman" w:hAnsi="Times New Roman" w:cs="Times New Roman"/>
          <w:sz w:val="24"/>
        </w:rPr>
      </w:pPr>
      <w:r w:rsidRPr="001B36F8">
        <w:rPr>
          <w:rFonts w:ascii="Times New Roman" w:hAnsi="Times New Roman" w:cs="Times New Roman"/>
          <w:sz w:val="24"/>
        </w:rPr>
        <w:t xml:space="preserve"> </w:t>
      </w:r>
      <w:proofErr w:type="gramStart"/>
      <w:r w:rsidR="005B2681" w:rsidRPr="00F63E07">
        <w:rPr>
          <w:rFonts w:ascii="Times New Roman" w:hAnsi="Times New Roman" w:cs="Times New Roman"/>
          <w:sz w:val="24"/>
        </w:rPr>
        <w:t>DCMS (2016).</w:t>
      </w:r>
      <w:proofErr w:type="gramEnd"/>
      <w:r w:rsidR="005B2681" w:rsidRPr="00F63E07">
        <w:rPr>
          <w:rFonts w:ascii="Times New Roman" w:hAnsi="Times New Roman" w:cs="Times New Roman"/>
          <w:sz w:val="24"/>
        </w:rPr>
        <w:t xml:space="preserve"> </w:t>
      </w:r>
      <w:r w:rsidR="005B2681" w:rsidRPr="00F63E07">
        <w:rPr>
          <w:rFonts w:ascii="Times New Roman" w:hAnsi="Times New Roman" w:cs="Times New Roman"/>
          <w:i/>
          <w:sz w:val="24"/>
        </w:rPr>
        <w:t>The Culture White Paper</w:t>
      </w:r>
      <w:r w:rsidR="005B2681" w:rsidRPr="00F63E07">
        <w:rPr>
          <w:rFonts w:ascii="Times New Roman" w:hAnsi="Times New Roman" w:cs="Times New Roman"/>
          <w:sz w:val="24"/>
        </w:rPr>
        <w:t>, Presented to the Parliament by the Secretary of State for Culture, Media &amp; Sport by Command of Her Majesty, March 2016, Cm 9218, OGL.</w:t>
      </w:r>
    </w:p>
    <w:p w:rsidR="00494CE3" w:rsidRPr="00F63E07" w:rsidRDefault="00494CE3" w:rsidP="004F250B">
      <w:pPr>
        <w:spacing w:before="240" w:after="0" w:line="360" w:lineRule="auto"/>
        <w:jc w:val="both"/>
        <w:rPr>
          <w:rFonts w:ascii="Times New Roman" w:hAnsi="Times New Roman" w:cs="Times New Roman"/>
          <w:sz w:val="24"/>
        </w:rPr>
      </w:pPr>
      <w:proofErr w:type="gramStart"/>
      <w:r w:rsidRPr="00F63E07">
        <w:rPr>
          <w:rFonts w:ascii="Times New Roman" w:hAnsi="Times New Roman" w:cs="Times New Roman"/>
          <w:sz w:val="24"/>
        </w:rPr>
        <w:t xml:space="preserve">Dowling, E. </w:t>
      </w:r>
      <w:r w:rsidRPr="00F63E07">
        <w:rPr>
          <w:rFonts w:ascii="Times New Roman" w:hAnsi="Times New Roman" w:cs="Times New Roman"/>
          <w:sz w:val="24"/>
        </w:rPr>
        <w:t>&amp;</w:t>
      </w:r>
      <w:r w:rsidRPr="00F63E07">
        <w:rPr>
          <w:rFonts w:ascii="Times New Roman" w:hAnsi="Times New Roman" w:cs="Times New Roman"/>
          <w:sz w:val="24"/>
        </w:rPr>
        <w:t xml:space="preserve"> Harvie, D., </w:t>
      </w:r>
      <w:r w:rsidRPr="00F63E07">
        <w:rPr>
          <w:rFonts w:ascii="Times New Roman" w:hAnsi="Times New Roman" w:cs="Times New Roman"/>
          <w:sz w:val="24"/>
        </w:rPr>
        <w:t>(</w:t>
      </w:r>
      <w:r w:rsidRPr="00F63E07">
        <w:rPr>
          <w:rFonts w:ascii="Times New Roman" w:hAnsi="Times New Roman" w:cs="Times New Roman"/>
          <w:sz w:val="24"/>
        </w:rPr>
        <w:t>2014</w:t>
      </w:r>
      <w:r w:rsidRPr="00F63E07">
        <w:rPr>
          <w:rFonts w:ascii="Times New Roman" w:hAnsi="Times New Roman" w:cs="Times New Roman"/>
          <w:sz w:val="24"/>
        </w:rPr>
        <w:t>)</w:t>
      </w:r>
      <w:r w:rsidRPr="00F63E07">
        <w:rPr>
          <w:rFonts w:ascii="Times New Roman" w:hAnsi="Times New Roman" w:cs="Times New Roman"/>
          <w:sz w:val="24"/>
        </w:rPr>
        <w:t>.</w:t>
      </w:r>
      <w:proofErr w:type="gramEnd"/>
      <w:r w:rsidRPr="00F63E07">
        <w:rPr>
          <w:rFonts w:ascii="Times New Roman" w:hAnsi="Times New Roman" w:cs="Times New Roman"/>
          <w:sz w:val="24"/>
        </w:rPr>
        <w:t xml:space="preserve"> </w:t>
      </w:r>
      <w:proofErr w:type="gramStart"/>
      <w:r w:rsidRPr="00F63E07">
        <w:rPr>
          <w:rFonts w:ascii="Times New Roman" w:hAnsi="Times New Roman" w:cs="Times New Roman"/>
          <w:sz w:val="24"/>
        </w:rPr>
        <w:t>“</w:t>
      </w:r>
      <w:r w:rsidRPr="00F63E07">
        <w:rPr>
          <w:rFonts w:ascii="Times New Roman" w:hAnsi="Times New Roman" w:cs="Times New Roman"/>
          <w:sz w:val="24"/>
        </w:rPr>
        <w:t>Harnessing the social: State, crisis and (Big) Society</w:t>
      </w:r>
      <w:r w:rsidRPr="00F63E07">
        <w:rPr>
          <w:rFonts w:ascii="Times New Roman" w:hAnsi="Times New Roman" w:cs="Times New Roman"/>
          <w:sz w:val="24"/>
        </w:rPr>
        <w:t>”,</w:t>
      </w:r>
      <w:r w:rsidRPr="00F63E07">
        <w:rPr>
          <w:rFonts w:ascii="Times New Roman" w:hAnsi="Times New Roman" w:cs="Times New Roman"/>
          <w:sz w:val="24"/>
        </w:rPr>
        <w:t xml:space="preserve"> </w:t>
      </w:r>
      <w:r w:rsidRPr="00F63E07">
        <w:rPr>
          <w:rFonts w:ascii="Times New Roman" w:hAnsi="Times New Roman" w:cs="Times New Roman"/>
          <w:i/>
          <w:sz w:val="24"/>
        </w:rPr>
        <w:t>Sociology</w:t>
      </w:r>
      <w:r w:rsidRPr="00F63E07">
        <w:rPr>
          <w:rFonts w:ascii="Times New Roman" w:hAnsi="Times New Roman" w:cs="Times New Roman"/>
          <w:sz w:val="24"/>
        </w:rPr>
        <w:t>, 48(5), pp.869-886.</w:t>
      </w:r>
      <w:proofErr w:type="gramEnd"/>
    </w:p>
    <w:p w:rsidR="00682A6A" w:rsidRPr="00682A6A" w:rsidRDefault="00682A6A" w:rsidP="004F250B">
      <w:pPr>
        <w:spacing w:before="240" w:after="0" w:line="360" w:lineRule="auto"/>
        <w:jc w:val="both"/>
        <w:rPr>
          <w:rFonts w:ascii="Times New Roman" w:hAnsi="Times New Roman" w:cs="Times New Roman"/>
          <w:sz w:val="24"/>
          <w:lang w:val="en-US"/>
        </w:rPr>
      </w:pPr>
      <w:proofErr w:type="gramStart"/>
      <w:r w:rsidRPr="00682A6A">
        <w:rPr>
          <w:rFonts w:ascii="Times New Roman" w:hAnsi="Times New Roman" w:cs="Times New Roman"/>
          <w:sz w:val="24"/>
          <w:lang w:val="en-US"/>
        </w:rPr>
        <w:t>Heilbrun, J. &amp; Gray, M. C. (2001).</w:t>
      </w:r>
      <w:proofErr w:type="gramEnd"/>
      <w:r w:rsidRPr="00682A6A">
        <w:rPr>
          <w:rFonts w:ascii="Times New Roman" w:hAnsi="Times New Roman" w:cs="Times New Roman"/>
          <w:sz w:val="24"/>
          <w:lang w:val="en-US"/>
        </w:rPr>
        <w:t xml:space="preserve"> </w:t>
      </w:r>
      <w:r w:rsidRPr="00682A6A">
        <w:rPr>
          <w:rFonts w:ascii="Times New Roman" w:hAnsi="Times New Roman" w:cs="Times New Roman"/>
          <w:i/>
          <w:sz w:val="24"/>
          <w:lang w:val="en-US"/>
        </w:rPr>
        <w:t>The Economics of Art and Culture</w:t>
      </w:r>
      <w:r w:rsidRPr="00682A6A">
        <w:rPr>
          <w:rFonts w:ascii="Times New Roman" w:hAnsi="Times New Roman" w:cs="Times New Roman"/>
          <w:sz w:val="24"/>
          <w:lang w:val="en-US"/>
        </w:rPr>
        <w:t xml:space="preserve"> (2</w:t>
      </w:r>
      <w:r w:rsidRPr="00682A6A">
        <w:rPr>
          <w:rFonts w:ascii="Times New Roman" w:hAnsi="Times New Roman" w:cs="Times New Roman"/>
          <w:sz w:val="24"/>
          <w:vertAlign w:val="superscript"/>
          <w:lang w:val="en-US"/>
        </w:rPr>
        <w:t>nd</w:t>
      </w:r>
      <w:r w:rsidRPr="00682A6A">
        <w:rPr>
          <w:rFonts w:ascii="Times New Roman" w:hAnsi="Times New Roman" w:cs="Times New Roman"/>
          <w:sz w:val="24"/>
          <w:lang w:val="en-US"/>
        </w:rPr>
        <w:t xml:space="preserve"> ed.), New York: Cambridge University Press.</w:t>
      </w:r>
    </w:p>
    <w:p w:rsidR="00103679" w:rsidRPr="00F63E07" w:rsidRDefault="001F1E2D" w:rsidP="004F250B">
      <w:pPr>
        <w:spacing w:before="240" w:after="0" w:line="360" w:lineRule="auto"/>
        <w:jc w:val="both"/>
        <w:rPr>
          <w:rFonts w:ascii="Times New Roman" w:hAnsi="Times New Roman" w:cs="Times New Roman"/>
          <w:sz w:val="24"/>
        </w:rPr>
      </w:pPr>
      <w:proofErr w:type="gramStart"/>
      <w:r w:rsidRPr="00F63E07">
        <w:rPr>
          <w:rFonts w:ascii="Times New Roman" w:hAnsi="Times New Roman" w:cs="Times New Roman"/>
          <w:sz w:val="24"/>
        </w:rPr>
        <w:t xml:space="preserve">Hesmondhalgh, D., </w:t>
      </w:r>
      <w:proofErr w:type="spellStart"/>
      <w:r w:rsidRPr="00F63E07">
        <w:rPr>
          <w:rFonts w:ascii="Times New Roman" w:hAnsi="Times New Roman" w:cs="Times New Roman"/>
          <w:sz w:val="24"/>
        </w:rPr>
        <w:t>Nisbett</w:t>
      </w:r>
      <w:proofErr w:type="spellEnd"/>
      <w:r w:rsidRPr="00F63E07">
        <w:rPr>
          <w:rFonts w:ascii="Times New Roman" w:hAnsi="Times New Roman" w:cs="Times New Roman"/>
          <w:sz w:val="24"/>
        </w:rPr>
        <w:t>, M., Oakley, K. and Lee, D., 2015.</w:t>
      </w:r>
      <w:proofErr w:type="gramEnd"/>
      <w:r w:rsidRPr="00F63E07">
        <w:rPr>
          <w:rFonts w:ascii="Times New Roman" w:hAnsi="Times New Roman" w:cs="Times New Roman"/>
          <w:sz w:val="24"/>
        </w:rPr>
        <w:t xml:space="preserve"> Were New Labour’s cultural policies neo-liberal</w:t>
      </w:r>
      <w:proofErr w:type="gramStart"/>
      <w:r w:rsidRPr="00F63E07">
        <w:rPr>
          <w:rFonts w:ascii="Times New Roman" w:hAnsi="Times New Roman" w:cs="Times New Roman"/>
          <w:sz w:val="24"/>
        </w:rPr>
        <w:t>?.</w:t>
      </w:r>
      <w:proofErr w:type="gramEnd"/>
      <w:r w:rsidRPr="00F63E07">
        <w:rPr>
          <w:rFonts w:ascii="Times New Roman" w:hAnsi="Times New Roman" w:cs="Times New Roman"/>
          <w:sz w:val="24"/>
        </w:rPr>
        <w:t> </w:t>
      </w:r>
      <w:r w:rsidRPr="00F63E07">
        <w:rPr>
          <w:rFonts w:ascii="Times New Roman" w:hAnsi="Times New Roman" w:cs="Times New Roman"/>
          <w:i/>
          <w:iCs/>
          <w:sz w:val="24"/>
        </w:rPr>
        <w:t>International journal of cultural policy</w:t>
      </w:r>
      <w:proofErr w:type="gramStart"/>
      <w:r w:rsidRPr="00F63E07">
        <w:rPr>
          <w:rFonts w:ascii="Times New Roman" w:hAnsi="Times New Roman" w:cs="Times New Roman"/>
          <w:sz w:val="24"/>
        </w:rPr>
        <w:t>,</w:t>
      </w:r>
      <w:r w:rsidRPr="00F63E07">
        <w:rPr>
          <w:rFonts w:ascii="Times New Roman" w:hAnsi="Times New Roman" w:cs="Times New Roman"/>
          <w:i/>
          <w:iCs/>
          <w:sz w:val="24"/>
        </w:rPr>
        <w:t>21</w:t>
      </w:r>
      <w:proofErr w:type="gramEnd"/>
      <w:r w:rsidRPr="00F63E07">
        <w:rPr>
          <w:rFonts w:ascii="Times New Roman" w:hAnsi="Times New Roman" w:cs="Times New Roman"/>
          <w:sz w:val="24"/>
        </w:rPr>
        <w:t>(1), pp.97-114.</w:t>
      </w:r>
    </w:p>
    <w:p w:rsidR="00392A31" w:rsidRPr="00F63E07" w:rsidRDefault="00392A31" w:rsidP="004F250B">
      <w:pPr>
        <w:spacing w:before="240" w:after="0" w:line="360" w:lineRule="auto"/>
        <w:jc w:val="both"/>
        <w:rPr>
          <w:rFonts w:ascii="Times New Roman" w:hAnsi="Times New Roman" w:cs="Times New Roman"/>
          <w:sz w:val="24"/>
        </w:rPr>
      </w:pPr>
      <w:proofErr w:type="gramStart"/>
      <w:r w:rsidRPr="00F63E07">
        <w:rPr>
          <w:rFonts w:ascii="Times New Roman" w:hAnsi="Times New Roman" w:cs="Times New Roman"/>
          <w:sz w:val="24"/>
        </w:rPr>
        <w:t xml:space="preserve">Gill, R. </w:t>
      </w:r>
      <w:r w:rsidR="00FF3835" w:rsidRPr="00F63E07">
        <w:rPr>
          <w:rFonts w:ascii="Times New Roman" w:hAnsi="Times New Roman" w:cs="Times New Roman"/>
          <w:sz w:val="24"/>
        </w:rPr>
        <w:t>&amp; Pratt, A.</w:t>
      </w:r>
      <w:r w:rsidRPr="00F63E07">
        <w:rPr>
          <w:rFonts w:ascii="Times New Roman" w:hAnsi="Times New Roman" w:cs="Times New Roman"/>
          <w:sz w:val="24"/>
        </w:rPr>
        <w:t xml:space="preserve"> </w:t>
      </w:r>
      <w:r w:rsidR="00FF3835" w:rsidRPr="00F63E07">
        <w:rPr>
          <w:rFonts w:ascii="Times New Roman" w:hAnsi="Times New Roman" w:cs="Times New Roman"/>
          <w:sz w:val="24"/>
        </w:rPr>
        <w:t>(</w:t>
      </w:r>
      <w:r w:rsidRPr="00F63E07">
        <w:rPr>
          <w:rFonts w:ascii="Times New Roman" w:hAnsi="Times New Roman" w:cs="Times New Roman"/>
          <w:sz w:val="24"/>
        </w:rPr>
        <w:t>2013</w:t>
      </w:r>
      <w:r w:rsidR="00FF3835" w:rsidRPr="00F63E07">
        <w:rPr>
          <w:rFonts w:ascii="Times New Roman" w:hAnsi="Times New Roman" w:cs="Times New Roman"/>
          <w:sz w:val="24"/>
        </w:rPr>
        <w:t>)</w:t>
      </w:r>
      <w:r w:rsidRPr="00F63E07">
        <w:rPr>
          <w:rFonts w:ascii="Times New Roman" w:hAnsi="Times New Roman" w:cs="Times New Roman"/>
          <w:sz w:val="24"/>
        </w:rPr>
        <w:t>.</w:t>
      </w:r>
      <w:proofErr w:type="gramEnd"/>
      <w:r w:rsidRPr="00F63E07">
        <w:rPr>
          <w:rFonts w:ascii="Times New Roman" w:hAnsi="Times New Roman" w:cs="Times New Roman"/>
          <w:sz w:val="24"/>
        </w:rPr>
        <w:t xml:space="preserve"> </w:t>
      </w:r>
      <w:proofErr w:type="gramStart"/>
      <w:r w:rsidR="00FF3835" w:rsidRPr="00F63E07">
        <w:rPr>
          <w:rFonts w:ascii="Times New Roman" w:hAnsi="Times New Roman" w:cs="Times New Roman"/>
          <w:sz w:val="24"/>
        </w:rPr>
        <w:t>“</w:t>
      </w:r>
      <w:r w:rsidRPr="00F63E07">
        <w:rPr>
          <w:rFonts w:ascii="Times New Roman" w:hAnsi="Times New Roman" w:cs="Times New Roman"/>
          <w:sz w:val="24"/>
        </w:rPr>
        <w:t>The Precarious Labour in the Field of Art</w:t>
      </w:r>
      <w:r w:rsidR="00FF3835" w:rsidRPr="00F63E07">
        <w:rPr>
          <w:rFonts w:ascii="Times New Roman" w:hAnsi="Times New Roman" w:cs="Times New Roman"/>
          <w:sz w:val="24"/>
        </w:rPr>
        <w:t xml:space="preserve">”, </w:t>
      </w:r>
      <w:r w:rsidR="00FF3835" w:rsidRPr="00F63E07">
        <w:rPr>
          <w:rFonts w:ascii="Times New Roman" w:hAnsi="Times New Roman" w:cs="Times New Roman"/>
          <w:i/>
          <w:iCs/>
          <w:sz w:val="24"/>
        </w:rPr>
        <w:t>OnCurating.</w:t>
      </w:r>
      <w:r w:rsidRPr="00F63E07">
        <w:rPr>
          <w:rFonts w:ascii="Times New Roman" w:hAnsi="Times New Roman" w:cs="Times New Roman"/>
          <w:i/>
          <w:iCs/>
          <w:sz w:val="24"/>
        </w:rPr>
        <w:t>org</w:t>
      </w:r>
      <w:r w:rsidRPr="00F63E07">
        <w:rPr>
          <w:rFonts w:ascii="Times New Roman" w:hAnsi="Times New Roman" w:cs="Times New Roman"/>
          <w:sz w:val="24"/>
        </w:rPr>
        <w:t xml:space="preserve"> (16).</w:t>
      </w:r>
      <w:proofErr w:type="gramEnd"/>
    </w:p>
    <w:p w:rsidR="007D3D8B" w:rsidRDefault="007D3D8B" w:rsidP="004F250B">
      <w:pPr>
        <w:spacing w:before="240" w:after="0" w:line="360" w:lineRule="auto"/>
        <w:jc w:val="both"/>
        <w:rPr>
          <w:rFonts w:ascii="Times New Roman" w:hAnsi="Times New Roman" w:cs="Times New Roman"/>
          <w:sz w:val="24"/>
        </w:rPr>
      </w:pPr>
      <w:r>
        <w:rPr>
          <w:rFonts w:ascii="Times New Roman" w:hAnsi="Times New Roman" w:cs="Times New Roman"/>
          <w:sz w:val="24"/>
        </w:rPr>
        <w:t xml:space="preserve">McAndrew, C. (2016). </w:t>
      </w:r>
      <w:r w:rsidRPr="007D3D8B">
        <w:rPr>
          <w:rFonts w:ascii="Times New Roman" w:hAnsi="Times New Roman" w:cs="Times New Roman"/>
          <w:i/>
          <w:sz w:val="24"/>
        </w:rPr>
        <w:t>TEFAF Art Market Report 2016</w:t>
      </w:r>
      <w:r>
        <w:rPr>
          <w:rFonts w:ascii="Times New Roman" w:hAnsi="Times New Roman" w:cs="Times New Roman"/>
          <w:sz w:val="24"/>
        </w:rPr>
        <w:t xml:space="preserve">, </w:t>
      </w:r>
      <w:proofErr w:type="spellStart"/>
      <w:r>
        <w:rPr>
          <w:rFonts w:ascii="Times New Roman" w:hAnsi="Times New Roman" w:cs="Times New Roman"/>
          <w:sz w:val="24"/>
        </w:rPr>
        <w:t>Helvoirt</w:t>
      </w:r>
      <w:proofErr w:type="spellEnd"/>
      <w:r>
        <w:rPr>
          <w:rFonts w:ascii="Times New Roman" w:hAnsi="Times New Roman" w:cs="Times New Roman"/>
          <w:sz w:val="24"/>
        </w:rPr>
        <w:t>: TEFAF.</w:t>
      </w:r>
    </w:p>
    <w:p w:rsidR="00FF3835" w:rsidRPr="00F63E07" w:rsidRDefault="00FF3835" w:rsidP="004F250B">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 xml:space="preserve">Morgan, G., Wood, J. </w:t>
      </w:r>
      <w:proofErr w:type="gramStart"/>
      <w:r w:rsidRPr="00F63E07">
        <w:rPr>
          <w:rFonts w:ascii="Times New Roman" w:hAnsi="Times New Roman" w:cs="Times New Roman"/>
          <w:sz w:val="24"/>
        </w:rPr>
        <w:t xml:space="preserve">&amp;  </w:t>
      </w:r>
      <w:proofErr w:type="spellStart"/>
      <w:r w:rsidRPr="00F63E07">
        <w:rPr>
          <w:rFonts w:ascii="Times New Roman" w:hAnsi="Times New Roman" w:cs="Times New Roman"/>
          <w:sz w:val="24"/>
        </w:rPr>
        <w:t>Nelligan</w:t>
      </w:r>
      <w:proofErr w:type="spellEnd"/>
      <w:proofErr w:type="gramEnd"/>
      <w:r w:rsidRPr="00F63E07">
        <w:rPr>
          <w:rFonts w:ascii="Times New Roman" w:hAnsi="Times New Roman" w:cs="Times New Roman"/>
          <w:sz w:val="24"/>
        </w:rPr>
        <w:t>, P. (2013). “Beyond the vocational fragments: Creative work, precarious labour and the idea of ‘</w:t>
      </w:r>
      <w:proofErr w:type="spellStart"/>
      <w:r w:rsidRPr="00F63E07">
        <w:rPr>
          <w:rFonts w:ascii="Times New Roman" w:hAnsi="Times New Roman" w:cs="Times New Roman"/>
          <w:sz w:val="24"/>
        </w:rPr>
        <w:t>Flexploitation</w:t>
      </w:r>
      <w:proofErr w:type="spellEnd"/>
      <w:r w:rsidRPr="00F63E07">
        <w:rPr>
          <w:rFonts w:ascii="Times New Roman" w:hAnsi="Times New Roman" w:cs="Times New Roman"/>
          <w:sz w:val="24"/>
        </w:rPr>
        <w:t xml:space="preserve">’”, </w:t>
      </w:r>
      <w:r w:rsidRPr="00F63E07">
        <w:rPr>
          <w:rFonts w:ascii="Times New Roman" w:hAnsi="Times New Roman" w:cs="Times New Roman"/>
          <w:i/>
          <w:iCs/>
          <w:sz w:val="24"/>
        </w:rPr>
        <w:t>The Economic and Labour Relations Review</w:t>
      </w:r>
      <w:r w:rsidRPr="00F63E07">
        <w:rPr>
          <w:rFonts w:ascii="Times New Roman" w:hAnsi="Times New Roman" w:cs="Times New Roman"/>
          <w:sz w:val="24"/>
        </w:rPr>
        <w:t>, </w:t>
      </w:r>
      <w:r w:rsidRPr="00F63E07">
        <w:rPr>
          <w:rFonts w:ascii="Times New Roman" w:hAnsi="Times New Roman" w:cs="Times New Roman"/>
          <w:i/>
          <w:iCs/>
          <w:sz w:val="24"/>
        </w:rPr>
        <w:t>24</w:t>
      </w:r>
      <w:r w:rsidRPr="00F63E07">
        <w:rPr>
          <w:rFonts w:ascii="Times New Roman" w:hAnsi="Times New Roman" w:cs="Times New Roman"/>
          <w:sz w:val="24"/>
        </w:rPr>
        <w:t>(3), pp.397-415.</w:t>
      </w:r>
    </w:p>
    <w:p w:rsidR="00494CE3" w:rsidRPr="00F63E07" w:rsidRDefault="00103679" w:rsidP="004F250B">
      <w:pPr>
        <w:spacing w:before="240" w:after="0" w:line="360" w:lineRule="auto"/>
        <w:jc w:val="both"/>
        <w:rPr>
          <w:rFonts w:ascii="Times New Roman" w:hAnsi="Times New Roman" w:cs="Times New Roman"/>
          <w:sz w:val="24"/>
        </w:rPr>
      </w:pPr>
      <w:proofErr w:type="spellStart"/>
      <w:proofErr w:type="gramStart"/>
      <w:r w:rsidRPr="00F63E07">
        <w:rPr>
          <w:rFonts w:ascii="Times New Roman" w:hAnsi="Times New Roman" w:cs="Times New Roman"/>
          <w:sz w:val="24"/>
        </w:rPr>
        <w:lastRenderedPageBreak/>
        <w:t>Needland</w:t>
      </w:r>
      <w:proofErr w:type="spellEnd"/>
      <w:r w:rsidRPr="00F63E07">
        <w:rPr>
          <w:rFonts w:ascii="Times New Roman" w:hAnsi="Times New Roman" w:cs="Times New Roman"/>
          <w:sz w:val="24"/>
        </w:rPr>
        <w:t xml:space="preserve">, J., </w:t>
      </w:r>
      <w:proofErr w:type="spellStart"/>
      <w:r w:rsidRPr="00F63E07">
        <w:rPr>
          <w:rFonts w:ascii="Times New Roman" w:hAnsi="Times New Roman" w:cs="Times New Roman"/>
          <w:sz w:val="24"/>
        </w:rPr>
        <w:t>Belfiore</w:t>
      </w:r>
      <w:proofErr w:type="spellEnd"/>
      <w:r w:rsidRPr="00F63E07">
        <w:rPr>
          <w:rFonts w:ascii="Times New Roman" w:hAnsi="Times New Roman" w:cs="Times New Roman"/>
          <w:sz w:val="24"/>
        </w:rPr>
        <w:t xml:space="preserve">, E., Firth, C., Hart, N., Perrin, L., Brock, S., </w:t>
      </w:r>
      <w:proofErr w:type="spellStart"/>
      <w:r w:rsidRPr="00F63E07">
        <w:rPr>
          <w:rFonts w:ascii="Times New Roman" w:hAnsi="Times New Roman" w:cs="Times New Roman"/>
          <w:sz w:val="24"/>
        </w:rPr>
        <w:t>Holdaway</w:t>
      </w:r>
      <w:proofErr w:type="spellEnd"/>
      <w:r w:rsidRPr="00F63E07">
        <w:rPr>
          <w:rFonts w:ascii="Times New Roman" w:hAnsi="Times New Roman" w:cs="Times New Roman"/>
          <w:sz w:val="24"/>
        </w:rPr>
        <w:t xml:space="preserve">, D. &amp; </w:t>
      </w:r>
      <w:proofErr w:type="spellStart"/>
      <w:r w:rsidRPr="00F63E07">
        <w:rPr>
          <w:rFonts w:ascii="Times New Roman" w:hAnsi="Times New Roman" w:cs="Times New Roman"/>
          <w:sz w:val="24"/>
        </w:rPr>
        <w:t>Woddis</w:t>
      </w:r>
      <w:proofErr w:type="spellEnd"/>
      <w:r w:rsidRPr="00F63E07">
        <w:rPr>
          <w:rFonts w:ascii="Times New Roman" w:hAnsi="Times New Roman" w:cs="Times New Roman"/>
          <w:sz w:val="24"/>
        </w:rPr>
        <w:t>, J. (2015).</w:t>
      </w:r>
      <w:proofErr w:type="gramEnd"/>
      <w:r w:rsidRPr="00F63E07">
        <w:rPr>
          <w:rFonts w:ascii="Times New Roman" w:hAnsi="Times New Roman" w:cs="Times New Roman"/>
          <w:sz w:val="24"/>
        </w:rPr>
        <w:t xml:space="preserve"> “Enriching Britain: Culture, creativity and growth: The 2015 report by the Warwick Commission on the future of cultural value”, Warwick: The University of Warwick.</w:t>
      </w:r>
    </w:p>
    <w:p w:rsidR="00F63E07" w:rsidRPr="00F63E07" w:rsidRDefault="00F63E07" w:rsidP="004F250B">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 xml:space="preserve">Oakley, K. (2009). </w:t>
      </w:r>
      <w:proofErr w:type="gramStart"/>
      <w:r w:rsidRPr="00F63E07">
        <w:rPr>
          <w:rFonts w:ascii="Times New Roman" w:hAnsi="Times New Roman" w:cs="Times New Roman"/>
          <w:sz w:val="24"/>
        </w:rPr>
        <w:t xml:space="preserve">“The disappearing arts: Creativity and innovation after the creative industries”, </w:t>
      </w:r>
      <w:r w:rsidRPr="00F63E07">
        <w:rPr>
          <w:rFonts w:ascii="Times New Roman" w:hAnsi="Times New Roman" w:cs="Times New Roman"/>
          <w:i/>
          <w:sz w:val="24"/>
        </w:rPr>
        <w:t>International Journal of Cultural Policy</w:t>
      </w:r>
      <w:r w:rsidRPr="00F63E07">
        <w:rPr>
          <w:rFonts w:ascii="Times New Roman" w:hAnsi="Times New Roman" w:cs="Times New Roman"/>
          <w:sz w:val="24"/>
        </w:rPr>
        <w:t>, Vol.15, No.4, pp.403-413.</w:t>
      </w:r>
      <w:proofErr w:type="gramEnd"/>
    </w:p>
    <w:p w:rsidR="00FF3835" w:rsidRPr="00F63E07" w:rsidRDefault="00FF3835" w:rsidP="004F250B">
      <w:pPr>
        <w:spacing w:before="240" w:after="0" w:line="360" w:lineRule="auto"/>
        <w:jc w:val="both"/>
        <w:rPr>
          <w:rFonts w:ascii="Times New Roman" w:hAnsi="Times New Roman" w:cs="Times New Roman"/>
          <w:sz w:val="24"/>
          <w:lang w:val="en-US"/>
        </w:rPr>
      </w:pPr>
      <w:proofErr w:type="gramStart"/>
      <w:r w:rsidRPr="00F63E07">
        <w:rPr>
          <w:rFonts w:ascii="Times New Roman" w:hAnsi="Times New Roman" w:cs="Times New Roman"/>
          <w:sz w:val="24"/>
          <w:lang w:val="en-US"/>
        </w:rPr>
        <w:t xml:space="preserve">Petterson, A. (2014), 'Value, Risk and the Contemporary Art Ecosystem', in Dempster, A.M., </w:t>
      </w:r>
      <w:r w:rsidRPr="00F63E07">
        <w:rPr>
          <w:rFonts w:ascii="Times New Roman" w:hAnsi="Times New Roman" w:cs="Times New Roman"/>
          <w:i/>
          <w:sz w:val="24"/>
          <w:lang w:val="en-US"/>
        </w:rPr>
        <w:t>Risk and Uncertainty in the Art Word</w:t>
      </w:r>
      <w:r w:rsidRPr="00F63E07">
        <w:rPr>
          <w:rFonts w:ascii="Times New Roman" w:hAnsi="Times New Roman" w:cs="Times New Roman"/>
          <w:sz w:val="24"/>
          <w:lang w:val="en-US"/>
        </w:rPr>
        <w:t>, Bloomsbury Press, London.</w:t>
      </w:r>
      <w:proofErr w:type="gramEnd"/>
    </w:p>
    <w:p w:rsidR="001B36F8" w:rsidRPr="001B36F8" w:rsidRDefault="001B36F8" w:rsidP="004F250B">
      <w:pPr>
        <w:spacing w:before="240" w:after="0" w:line="360" w:lineRule="auto"/>
        <w:jc w:val="both"/>
        <w:rPr>
          <w:rFonts w:ascii="Times New Roman" w:hAnsi="Times New Roman" w:cs="Times New Roman"/>
          <w:sz w:val="24"/>
        </w:rPr>
      </w:pPr>
      <w:r w:rsidRPr="001B36F8">
        <w:rPr>
          <w:rFonts w:ascii="Times New Roman" w:hAnsi="Times New Roman" w:cs="Times New Roman"/>
          <w:sz w:val="24"/>
        </w:rPr>
        <w:t xml:space="preserve">Pooke, G. (2011). </w:t>
      </w:r>
      <w:r w:rsidRPr="001B36F8">
        <w:rPr>
          <w:rFonts w:ascii="Times New Roman" w:hAnsi="Times New Roman" w:cs="Times New Roman"/>
          <w:i/>
          <w:sz w:val="24"/>
        </w:rPr>
        <w:t>Contemporary British Art: An Introduction</w:t>
      </w:r>
      <w:r w:rsidRPr="001B36F8">
        <w:rPr>
          <w:rFonts w:ascii="Times New Roman" w:hAnsi="Times New Roman" w:cs="Times New Roman"/>
          <w:sz w:val="24"/>
        </w:rPr>
        <w:t>, London and New York: Routledge.</w:t>
      </w:r>
    </w:p>
    <w:p w:rsidR="00F63E07" w:rsidRPr="00F63E07" w:rsidRDefault="00F63E07" w:rsidP="004F250B">
      <w:pPr>
        <w:spacing w:before="240" w:after="0" w:line="360" w:lineRule="auto"/>
        <w:jc w:val="both"/>
        <w:rPr>
          <w:rFonts w:ascii="Times New Roman" w:hAnsi="Times New Roman" w:cs="Times New Roman"/>
          <w:sz w:val="24"/>
          <w:lang w:val="en-US"/>
        </w:rPr>
      </w:pPr>
      <w:r w:rsidRPr="00F63E07">
        <w:rPr>
          <w:rFonts w:ascii="Times New Roman" w:hAnsi="Times New Roman" w:cs="Times New Roman"/>
          <w:sz w:val="24"/>
          <w:lang w:val="en-US"/>
        </w:rPr>
        <w:t xml:space="preserve">Schubert, K. (2009). </w:t>
      </w:r>
      <w:r w:rsidRPr="00F63E07">
        <w:rPr>
          <w:rFonts w:ascii="Times New Roman" w:hAnsi="Times New Roman" w:cs="Times New Roman"/>
          <w:i/>
          <w:sz w:val="24"/>
          <w:lang w:val="en-US"/>
        </w:rPr>
        <w:t>The Curator’s Egg: The evolution of the museum concept from the French Revolution to the present day</w:t>
      </w:r>
      <w:r w:rsidRPr="00F63E07">
        <w:rPr>
          <w:rFonts w:ascii="Times New Roman" w:hAnsi="Times New Roman" w:cs="Times New Roman"/>
          <w:sz w:val="24"/>
          <w:lang w:val="en-US"/>
        </w:rPr>
        <w:t xml:space="preserve"> (3</w:t>
      </w:r>
      <w:r w:rsidRPr="00F63E07">
        <w:rPr>
          <w:rFonts w:ascii="Times New Roman" w:hAnsi="Times New Roman" w:cs="Times New Roman"/>
          <w:sz w:val="24"/>
          <w:vertAlign w:val="superscript"/>
          <w:lang w:val="en-US"/>
        </w:rPr>
        <w:t>rd</w:t>
      </w:r>
      <w:r w:rsidRPr="00F63E07">
        <w:rPr>
          <w:rFonts w:ascii="Times New Roman" w:hAnsi="Times New Roman" w:cs="Times New Roman"/>
          <w:sz w:val="24"/>
          <w:lang w:val="en-US"/>
        </w:rPr>
        <w:t xml:space="preserve"> ed.), London: </w:t>
      </w:r>
      <w:proofErr w:type="spellStart"/>
      <w:r w:rsidRPr="00F63E07">
        <w:rPr>
          <w:rFonts w:ascii="Times New Roman" w:hAnsi="Times New Roman" w:cs="Times New Roman"/>
          <w:sz w:val="24"/>
          <w:lang w:val="en-US"/>
        </w:rPr>
        <w:t>Ridinghouse</w:t>
      </w:r>
      <w:proofErr w:type="spellEnd"/>
      <w:r w:rsidRPr="00F63E07">
        <w:rPr>
          <w:rFonts w:ascii="Times New Roman" w:hAnsi="Times New Roman" w:cs="Times New Roman"/>
          <w:sz w:val="24"/>
          <w:lang w:val="en-US"/>
        </w:rPr>
        <w:t xml:space="preserve">. </w:t>
      </w:r>
    </w:p>
    <w:p w:rsidR="00DD6A6F" w:rsidRPr="00F63E07" w:rsidRDefault="00483904" w:rsidP="004F250B">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Townsend, C. (2006). New art from London, London: Thames &amp; Hudson.</w:t>
      </w:r>
    </w:p>
    <w:p w:rsidR="00FF3835" w:rsidRPr="00F63E07" w:rsidRDefault="00DD6A6F" w:rsidP="004F250B">
      <w:pPr>
        <w:spacing w:before="240" w:after="0" w:line="360" w:lineRule="auto"/>
        <w:jc w:val="both"/>
        <w:rPr>
          <w:rFonts w:ascii="Times New Roman" w:hAnsi="Times New Roman" w:cs="Times New Roman"/>
          <w:sz w:val="24"/>
        </w:rPr>
      </w:pPr>
      <w:proofErr w:type="gramStart"/>
      <w:r w:rsidRPr="00F63E07">
        <w:rPr>
          <w:rFonts w:ascii="Times New Roman" w:hAnsi="Times New Roman" w:cs="Times New Roman"/>
          <w:sz w:val="24"/>
        </w:rPr>
        <w:t>Velthuis, O. &amp; Curioni, S.B. (2015).</w:t>
      </w:r>
      <w:proofErr w:type="gramEnd"/>
      <w:r w:rsidRPr="00F63E07">
        <w:rPr>
          <w:rFonts w:ascii="Times New Roman" w:hAnsi="Times New Roman" w:cs="Times New Roman"/>
          <w:sz w:val="24"/>
        </w:rPr>
        <w:t xml:space="preserve"> “Making markets global”, in Velthuis, O. &amp; Curioni, B., (eds.), </w:t>
      </w:r>
      <w:r w:rsidRPr="00F63E07">
        <w:rPr>
          <w:rFonts w:ascii="Times New Roman" w:hAnsi="Times New Roman" w:cs="Times New Roman"/>
          <w:i/>
          <w:iCs/>
          <w:sz w:val="24"/>
        </w:rPr>
        <w:t>Cosmopolitan Canvases: The Globalization of Markets for Contemporary Art</w:t>
      </w:r>
      <w:r w:rsidRPr="00F63E07">
        <w:rPr>
          <w:rFonts w:ascii="Times New Roman" w:hAnsi="Times New Roman" w:cs="Times New Roman"/>
          <w:sz w:val="24"/>
        </w:rPr>
        <w:t>, Oxford: Oxford University Press, pp.1-28</w:t>
      </w:r>
      <w:r w:rsidR="00FF3835" w:rsidRPr="00F63E07">
        <w:rPr>
          <w:rFonts w:ascii="Times New Roman" w:hAnsi="Times New Roman" w:cs="Times New Roman"/>
          <w:sz w:val="24"/>
        </w:rPr>
        <w:t>.</w:t>
      </w:r>
    </w:p>
    <w:p w:rsidR="00000000" w:rsidRPr="00F63E07" w:rsidRDefault="005D62D8" w:rsidP="004F250B">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 xml:space="preserve">Velthuis, O. (2005). </w:t>
      </w:r>
      <w:r w:rsidRPr="00F63E07">
        <w:rPr>
          <w:rFonts w:ascii="Times New Roman" w:hAnsi="Times New Roman" w:cs="Times New Roman"/>
          <w:i/>
          <w:iCs/>
          <w:sz w:val="24"/>
        </w:rPr>
        <w:t>Symbolic Meanings of Prices on the Market for Contemporary Art</w:t>
      </w:r>
      <w:r w:rsidRPr="00F63E07">
        <w:rPr>
          <w:rFonts w:ascii="Times New Roman" w:hAnsi="Times New Roman" w:cs="Times New Roman"/>
          <w:sz w:val="24"/>
        </w:rPr>
        <w:t>, New Jersey, Woodstock: Princeton University Press.</w:t>
      </w:r>
    </w:p>
    <w:p w:rsidR="00494CE3" w:rsidRDefault="00FF3835" w:rsidP="004F250B">
      <w:pPr>
        <w:spacing w:before="240" w:after="0" w:line="360" w:lineRule="auto"/>
        <w:jc w:val="both"/>
        <w:rPr>
          <w:rFonts w:ascii="Times New Roman" w:hAnsi="Times New Roman" w:cs="Times New Roman"/>
          <w:sz w:val="24"/>
        </w:rPr>
      </w:pPr>
      <w:r w:rsidRPr="00F63E07">
        <w:rPr>
          <w:rFonts w:ascii="Times New Roman" w:hAnsi="Times New Roman" w:cs="Times New Roman"/>
          <w:sz w:val="24"/>
        </w:rPr>
        <w:t xml:space="preserve"> </w:t>
      </w:r>
      <w:proofErr w:type="gramStart"/>
      <w:r w:rsidR="00392A31" w:rsidRPr="00F63E07">
        <w:rPr>
          <w:rFonts w:ascii="Times New Roman" w:hAnsi="Times New Roman" w:cs="Times New Roman"/>
          <w:sz w:val="24"/>
        </w:rPr>
        <w:t>Watts, M. (2016).</w:t>
      </w:r>
      <w:proofErr w:type="gramEnd"/>
      <w:r w:rsidR="00392A31" w:rsidRPr="00F63E07">
        <w:rPr>
          <w:rFonts w:ascii="Times New Roman" w:hAnsi="Times New Roman" w:cs="Times New Roman"/>
          <w:sz w:val="24"/>
        </w:rPr>
        <w:t xml:space="preserve"> “Cost of living in London is starving capital of working artists, says Tate boss Nicholas Serota”, Evening Standard, Tuesday 15 March 2016, accessed in April 2016, URL: </w:t>
      </w:r>
      <w:hyperlink r:id="rId9" w:history="1">
        <w:r w:rsidR="00FD0AC7" w:rsidRPr="00965ABB">
          <w:rPr>
            <w:rStyle w:val="Hyperlink"/>
            <w:rFonts w:ascii="Times New Roman" w:hAnsi="Times New Roman" w:cs="Times New Roman"/>
            <w:sz w:val="24"/>
          </w:rPr>
          <w:t>http://www.standard.co.uk/news/london/cost-of-living-is-starving-capital-of-working-artists-says-tate-boss-nicholas-serota-a3203506.html</w:t>
        </w:r>
      </w:hyperlink>
      <w:r w:rsidR="00F63E07" w:rsidRPr="00F63E07">
        <w:rPr>
          <w:rFonts w:ascii="Times New Roman" w:hAnsi="Times New Roman" w:cs="Times New Roman"/>
          <w:sz w:val="24"/>
        </w:rPr>
        <w:t>.</w:t>
      </w:r>
    </w:p>
    <w:p w:rsidR="00FD0AC7" w:rsidRDefault="00FD0AC7" w:rsidP="004F250B">
      <w:pPr>
        <w:jc w:val="both"/>
        <w:rPr>
          <w:rFonts w:ascii="Times New Roman" w:hAnsi="Times New Roman" w:cs="Times New Roman"/>
          <w:sz w:val="24"/>
        </w:rPr>
      </w:pPr>
      <w:r>
        <w:rPr>
          <w:rFonts w:ascii="Times New Roman" w:hAnsi="Times New Roman" w:cs="Times New Roman"/>
          <w:sz w:val="24"/>
        </w:rPr>
        <w:br w:type="page"/>
      </w:r>
      <w:bookmarkStart w:id="0" w:name="_GoBack"/>
      <w:bookmarkEnd w:id="0"/>
    </w:p>
    <w:p w:rsidR="00FD0AC7" w:rsidRPr="006D401C" w:rsidRDefault="00FD0AC7" w:rsidP="00F63E07">
      <w:pPr>
        <w:spacing w:before="240" w:after="0" w:line="360" w:lineRule="auto"/>
        <w:rPr>
          <w:rFonts w:ascii="Times New Roman" w:hAnsi="Times New Roman" w:cs="Times New Roman"/>
          <w:b/>
          <w:sz w:val="24"/>
        </w:rPr>
      </w:pPr>
      <w:r w:rsidRPr="006D401C">
        <w:rPr>
          <w:rFonts w:ascii="Times New Roman" w:hAnsi="Times New Roman" w:cs="Times New Roman"/>
          <w:b/>
          <w:sz w:val="24"/>
        </w:rPr>
        <w:lastRenderedPageBreak/>
        <w:t>Tables</w:t>
      </w:r>
    </w:p>
    <w:p w:rsidR="00FD0AC7" w:rsidRDefault="00FD0AC7" w:rsidP="00F63E07">
      <w:pPr>
        <w:spacing w:before="240" w:after="0" w:line="360" w:lineRule="auto"/>
        <w:rPr>
          <w:rFonts w:ascii="Times New Roman" w:hAnsi="Times New Roman" w:cs="Times New Roman"/>
          <w:sz w:val="24"/>
        </w:rPr>
      </w:pPr>
      <w:r>
        <w:rPr>
          <w:rFonts w:ascii="Times New Roman" w:hAnsi="Times New Roman" w:cs="Times New Roman"/>
          <w:sz w:val="24"/>
        </w:rPr>
        <w:t>Table 1: Proportion of women working in each Creative Economy group, by year</w:t>
      </w:r>
    </w:p>
    <w:p w:rsidR="00FD0AC7" w:rsidRDefault="00FD0AC7" w:rsidP="00F63E07">
      <w:pPr>
        <w:spacing w:before="240" w:after="0" w:line="360" w:lineRule="auto"/>
        <w:rPr>
          <w:rFonts w:ascii="Times New Roman" w:hAnsi="Times New Roman" w:cs="Times New Roman"/>
          <w:sz w:val="24"/>
        </w:rPr>
      </w:pPr>
      <w:r>
        <w:rPr>
          <w:rFonts w:ascii="Times New Roman" w:hAnsi="Times New Roman" w:cs="Times New Roman"/>
          <w:noProof/>
          <w:sz w:val="24"/>
          <w:lang w:eastAsia="en-GB"/>
        </w:rPr>
        <w:drawing>
          <wp:anchor distT="0" distB="0" distL="114300" distR="114300" simplePos="0" relativeHeight="251660288" behindDoc="1" locked="0" layoutInCell="1" allowOverlap="1" wp14:anchorId="3D609A9B" wp14:editId="3E17FD88">
            <wp:simplePos x="0" y="0"/>
            <wp:positionH relativeFrom="column">
              <wp:posOffset>600075</wp:posOffset>
            </wp:positionH>
            <wp:positionV relativeFrom="paragraph">
              <wp:posOffset>207645</wp:posOffset>
            </wp:positionV>
            <wp:extent cx="3943350" cy="3044825"/>
            <wp:effectExtent l="0" t="0" r="0" b="3175"/>
            <wp:wrapTight wrapText="bothSides">
              <wp:wrapPolygon edited="0">
                <wp:start x="0" y="0"/>
                <wp:lineTo x="0" y="21487"/>
                <wp:lineTo x="21496" y="21487"/>
                <wp:lineTo x="2149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3350" cy="304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rPr>
          <w:rFonts w:ascii="Times New Roman" w:hAnsi="Times New Roman" w:cs="Times New Roman"/>
          <w:sz w:val="24"/>
        </w:rPr>
      </w:pPr>
    </w:p>
    <w:p w:rsidR="00FD0AC7" w:rsidRPr="00FD0AC7" w:rsidRDefault="00FD0AC7" w:rsidP="00FD0AC7">
      <w:pPr>
        <w:jc w:val="right"/>
        <w:rPr>
          <w:rFonts w:ascii="Times New Roman" w:hAnsi="Times New Roman" w:cs="Times New Roman"/>
          <w:i/>
          <w:sz w:val="20"/>
        </w:rPr>
      </w:pPr>
      <w:r w:rsidRPr="00FD0AC7">
        <w:rPr>
          <w:rFonts w:ascii="Times New Roman" w:hAnsi="Times New Roman" w:cs="Times New Roman"/>
          <w:i/>
          <w:sz w:val="20"/>
        </w:rPr>
        <w:t>Source: DCMS (2015, p.15)</w:t>
      </w:r>
    </w:p>
    <w:p w:rsidR="00FD0AC7" w:rsidRPr="00FD0AC7" w:rsidRDefault="00FD0AC7" w:rsidP="00FD0AC7">
      <w:pPr>
        <w:rPr>
          <w:rFonts w:ascii="Times New Roman" w:hAnsi="Times New Roman" w:cs="Times New Roman"/>
          <w:sz w:val="24"/>
        </w:rPr>
      </w:pPr>
    </w:p>
    <w:p w:rsidR="00FD0AC7" w:rsidRDefault="00FD0AC7" w:rsidP="00FD0AC7">
      <w:pPr>
        <w:rPr>
          <w:rFonts w:ascii="Times New Roman" w:hAnsi="Times New Roman" w:cs="Times New Roman"/>
          <w:sz w:val="24"/>
        </w:rPr>
      </w:pPr>
    </w:p>
    <w:p w:rsidR="00871019" w:rsidRDefault="00871019" w:rsidP="00871019">
      <w:pPr>
        <w:rPr>
          <w:rFonts w:ascii="Times New Roman" w:hAnsi="Times New Roman" w:cs="Times New Roman"/>
          <w:sz w:val="24"/>
        </w:rPr>
      </w:pPr>
      <w:r>
        <w:rPr>
          <w:rFonts w:ascii="Times New Roman" w:hAnsi="Times New Roman" w:cs="Times New Roman"/>
          <w:sz w:val="24"/>
        </w:rPr>
        <w:t>Table 2: Proportion of jobs in the creative industries, by highest level of qualification, 2014</w:t>
      </w:r>
    </w:p>
    <w:p w:rsidR="00871019" w:rsidRPr="00FD0AC7" w:rsidRDefault="00871019" w:rsidP="00871019">
      <w:pPr>
        <w:rPr>
          <w:rFonts w:ascii="Times New Roman" w:hAnsi="Times New Roman" w:cs="Times New Roman"/>
          <w:sz w:val="24"/>
        </w:rPr>
      </w:pPr>
      <w:r>
        <w:rPr>
          <w:rFonts w:ascii="Times New Roman" w:hAnsi="Times New Roman" w:cs="Times New Roman"/>
          <w:noProof/>
          <w:sz w:val="24"/>
          <w:lang w:eastAsia="en-GB"/>
        </w:rPr>
        <w:drawing>
          <wp:anchor distT="0" distB="0" distL="114300" distR="114300" simplePos="0" relativeHeight="251669504" behindDoc="1" locked="0" layoutInCell="1" allowOverlap="1" wp14:anchorId="3E4E2B59" wp14:editId="57E1BBC3">
            <wp:simplePos x="0" y="0"/>
            <wp:positionH relativeFrom="column">
              <wp:posOffset>9525</wp:posOffset>
            </wp:positionH>
            <wp:positionV relativeFrom="paragraph">
              <wp:posOffset>33655</wp:posOffset>
            </wp:positionV>
            <wp:extent cx="5416550" cy="2514600"/>
            <wp:effectExtent l="0" t="0" r="0" b="0"/>
            <wp:wrapTight wrapText="bothSides">
              <wp:wrapPolygon edited="0">
                <wp:start x="0" y="0"/>
                <wp:lineTo x="0" y="21436"/>
                <wp:lineTo x="21499" y="21436"/>
                <wp:lineTo x="2149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655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1019" w:rsidRPr="00FD0AC7" w:rsidRDefault="00871019" w:rsidP="00871019">
      <w:pPr>
        <w:rPr>
          <w:rFonts w:ascii="Times New Roman" w:hAnsi="Times New Roman" w:cs="Times New Roman"/>
          <w:sz w:val="24"/>
        </w:rPr>
      </w:pPr>
    </w:p>
    <w:p w:rsidR="00871019" w:rsidRPr="00FD0AC7" w:rsidRDefault="00871019" w:rsidP="00871019">
      <w:pPr>
        <w:rPr>
          <w:rFonts w:ascii="Times New Roman" w:hAnsi="Times New Roman" w:cs="Times New Roman"/>
          <w:sz w:val="24"/>
        </w:rPr>
      </w:pPr>
    </w:p>
    <w:p w:rsidR="00871019" w:rsidRDefault="00871019" w:rsidP="00871019">
      <w:pPr>
        <w:rPr>
          <w:rFonts w:ascii="Times New Roman" w:hAnsi="Times New Roman" w:cs="Times New Roman"/>
          <w:sz w:val="24"/>
        </w:rPr>
      </w:pPr>
    </w:p>
    <w:p w:rsidR="00871019" w:rsidRDefault="00871019" w:rsidP="00871019">
      <w:pPr>
        <w:rPr>
          <w:rFonts w:ascii="Times New Roman" w:hAnsi="Times New Roman" w:cs="Times New Roman"/>
          <w:sz w:val="24"/>
        </w:rPr>
      </w:pPr>
    </w:p>
    <w:p w:rsidR="00871019" w:rsidRPr="00FD0AC7" w:rsidRDefault="00871019" w:rsidP="00871019">
      <w:pPr>
        <w:rPr>
          <w:rFonts w:ascii="Times New Roman" w:hAnsi="Times New Roman" w:cs="Times New Roman"/>
          <w:sz w:val="24"/>
        </w:rPr>
      </w:pPr>
    </w:p>
    <w:p w:rsidR="00871019" w:rsidRPr="00FD0AC7" w:rsidRDefault="00871019" w:rsidP="00871019">
      <w:pPr>
        <w:rPr>
          <w:rFonts w:ascii="Times New Roman" w:hAnsi="Times New Roman" w:cs="Times New Roman"/>
          <w:sz w:val="24"/>
        </w:rPr>
      </w:pPr>
    </w:p>
    <w:p w:rsidR="00871019" w:rsidRDefault="00871019" w:rsidP="00871019">
      <w:pPr>
        <w:rPr>
          <w:rFonts w:ascii="Times New Roman" w:hAnsi="Times New Roman" w:cs="Times New Roman"/>
          <w:sz w:val="24"/>
        </w:rPr>
      </w:pPr>
    </w:p>
    <w:p w:rsidR="00871019" w:rsidRDefault="00871019" w:rsidP="00871019">
      <w:pPr>
        <w:tabs>
          <w:tab w:val="left" w:pos="4005"/>
        </w:tabs>
        <w:jc w:val="right"/>
        <w:rPr>
          <w:rFonts w:ascii="Times New Roman" w:hAnsi="Times New Roman" w:cs="Times New Roman"/>
          <w:i/>
          <w:sz w:val="20"/>
        </w:rPr>
      </w:pPr>
      <w:r w:rsidRPr="00FD0AC7">
        <w:rPr>
          <w:rFonts w:ascii="Times New Roman" w:hAnsi="Times New Roman" w:cs="Times New Roman"/>
          <w:i/>
          <w:sz w:val="20"/>
        </w:rPr>
        <w:tab/>
        <w:t>Source: DCMS (2015, p.16)</w:t>
      </w:r>
    </w:p>
    <w:p w:rsidR="00871019" w:rsidRDefault="00871019" w:rsidP="00871019">
      <w:pPr>
        <w:rPr>
          <w:rFonts w:ascii="Times New Roman" w:hAnsi="Times New Roman" w:cs="Times New Roman"/>
          <w:i/>
          <w:sz w:val="20"/>
        </w:rPr>
      </w:pPr>
    </w:p>
    <w:p w:rsidR="00FD0AC7" w:rsidRDefault="00FD0AC7">
      <w:pPr>
        <w:rPr>
          <w:rFonts w:ascii="Times New Roman" w:hAnsi="Times New Roman" w:cs="Times New Roman"/>
          <w:sz w:val="24"/>
        </w:rPr>
      </w:pPr>
    </w:p>
    <w:p w:rsidR="006D401C" w:rsidRDefault="006D401C" w:rsidP="006D401C">
      <w:pPr>
        <w:rPr>
          <w:rFonts w:ascii="Times New Roman" w:hAnsi="Times New Roman" w:cs="Times New Roman"/>
          <w:sz w:val="20"/>
        </w:rPr>
      </w:pPr>
      <w:r>
        <w:rPr>
          <w:rFonts w:ascii="Times New Roman" w:hAnsi="Times New Roman" w:cs="Times New Roman"/>
          <w:sz w:val="20"/>
        </w:rPr>
        <w:lastRenderedPageBreak/>
        <w:t xml:space="preserve">Table </w:t>
      </w:r>
      <w:r>
        <w:rPr>
          <w:rFonts w:ascii="Times New Roman" w:hAnsi="Times New Roman" w:cs="Times New Roman"/>
          <w:sz w:val="20"/>
        </w:rPr>
        <w:t>3</w:t>
      </w:r>
      <w:r>
        <w:rPr>
          <w:rFonts w:ascii="Times New Roman" w:hAnsi="Times New Roman" w:cs="Times New Roman"/>
          <w:sz w:val="20"/>
        </w:rPr>
        <w:t>: The Total Global Population of High-net-worth-individuals (HNWIs), in millions</w:t>
      </w:r>
    </w:p>
    <w:p w:rsidR="006D401C" w:rsidRPr="00871019" w:rsidRDefault="006D401C" w:rsidP="006D401C">
      <w:pPr>
        <w:rPr>
          <w:rFonts w:ascii="Times New Roman" w:hAnsi="Times New Roman" w:cs="Times New Roman"/>
          <w:sz w:val="20"/>
        </w:rPr>
      </w:pPr>
      <w:r>
        <w:rPr>
          <w:rFonts w:ascii="Times New Roman" w:hAnsi="Times New Roman" w:cs="Times New Roman"/>
          <w:noProof/>
          <w:sz w:val="20"/>
          <w:lang w:eastAsia="en-GB"/>
        </w:rPr>
        <w:drawing>
          <wp:anchor distT="0" distB="0" distL="114300" distR="114300" simplePos="0" relativeHeight="251671552" behindDoc="1" locked="0" layoutInCell="1" allowOverlap="1" wp14:anchorId="60F62CAB" wp14:editId="5F1C9308">
            <wp:simplePos x="0" y="0"/>
            <wp:positionH relativeFrom="column">
              <wp:posOffset>38100</wp:posOffset>
            </wp:positionH>
            <wp:positionV relativeFrom="paragraph">
              <wp:posOffset>219710</wp:posOffset>
            </wp:positionV>
            <wp:extent cx="4648200" cy="2273300"/>
            <wp:effectExtent l="0" t="0" r="0" b="0"/>
            <wp:wrapTight wrapText="bothSides">
              <wp:wrapPolygon edited="0">
                <wp:start x="0" y="0"/>
                <wp:lineTo x="0" y="21359"/>
                <wp:lineTo x="21511" y="21359"/>
                <wp:lineTo x="21511"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48200" cy="2273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401C" w:rsidRPr="00871019" w:rsidRDefault="006D401C" w:rsidP="006D401C">
      <w:pPr>
        <w:rPr>
          <w:rFonts w:ascii="Times New Roman" w:hAnsi="Times New Roman" w:cs="Times New Roman"/>
          <w:sz w:val="20"/>
        </w:rPr>
      </w:pPr>
    </w:p>
    <w:p w:rsidR="006D401C" w:rsidRDefault="006D401C" w:rsidP="008949E3">
      <w:pPr>
        <w:tabs>
          <w:tab w:val="left" w:pos="1305"/>
        </w:tabs>
        <w:rPr>
          <w:rFonts w:ascii="Times New Roman" w:hAnsi="Times New Roman" w:cs="Times New Roman"/>
          <w:sz w:val="20"/>
        </w:rPr>
      </w:pPr>
    </w:p>
    <w:p w:rsidR="006D401C" w:rsidRDefault="006D401C" w:rsidP="008949E3">
      <w:pPr>
        <w:tabs>
          <w:tab w:val="left" w:pos="1305"/>
        </w:tabs>
        <w:rPr>
          <w:rFonts w:ascii="Times New Roman" w:hAnsi="Times New Roman" w:cs="Times New Roman"/>
          <w:sz w:val="20"/>
        </w:rPr>
      </w:pPr>
    </w:p>
    <w:p w:rsidR="006D401C" w:rsidRDefault="006D401C" w:rsidP="008949E3">
      <w:pPr>
        <w:tabs>
          <w:tab w:val="left" w:pos="1305"/>
        </w:tabs>
        <w:rPr>
          <w:rFonts w:ascii="Times New Roman" w:hAnsi="Times New Roman" w:cs="Times New Roman"/>
          <w:sz w:val="20"/>
        </w:rPr>
      </w:pPr>
    </w:p>
    <w:p w:rsidR="006D401C" w:rsidRDefault="006D401C" w:rsidP="008949E3">
      <w:pPr>
        <w:tabs>
          <w:tab w:val="left" w:pos="1305"/>
        </w:tabs>
        <w:rPr>
          <w:rFonts w:ascii="Times New Roman" w:hAnsi="Times New Roman" w:cs="Times New Roman"/>
          <w:sz w:val="20"/>
        </w:rPr>
      </w:pPr>
    </w:p>
    <w:p w:rsidR="006D401C" w:rsidRDefault="006D401C" w:rsidP="008949E3">
      <w:pPr>
        <w:tabs>
          <w:tab w:val="left" w:pos="1305"/>
        </w:tabs>
        <w:rPr>
          <w:rFonts w:ascii="Times New Roman" w:hAnsi="Times New Roman" w:cs="Times New Roman"/>
          <w:sz w:val="20"/>
        </w:rPr>
      </w:pPr>
    </w:p>
    <w:p w:rsidR="006D401C" w:rsidRDefault="006D401C" w:rsidP="008949E3">
      <w:pPr>
        <w:tabs>
          <w:tab w:val="left" w:pos="1305"/>
        </w:tabs>
        <w:rPr>
          <w:rFonts w:ascii="Times New Roman" w:hAnsi="Times New Roman" w:cs="Times New Roman"/>
          <w:sz w:val="20"/>
        </w:rPr>
      </w:pPr>
    </w:p>
    <w:p w:rsidR="006D401C" w:rsidRDefault="006D401C" w:rsidP="008949E3">
      <w:pPr>
        <w:tabs>
          <w:tab w:val="left" w:pos="1305"/>
        </w:tabs>
        <w:rPr>
          <w:rFonts w:ascii="Times New Roman" w:hAnsi="Times New Roman" w:cs="Times New Roman"/>
          <w:sz w:val="20"/>
        </w:rPr>
      </w:pPr>
    </w:p>
    <w:p w:rsidR="00FD0AC7" w:rsidRDefault="008949E3" w:rsidP="008949E3">
      <w:pPr>
        <w:tabs>
          <w:tab w:val="left" w:pos="1305"/>
        </w:tabs>
        <w:rPr>
          <w:rFonts w:ascii="Times New Roman" w:hAnsi="Times New Roman" w:cs="Times New Roman"/>
          <w:sz w:val="20"/>
        </w:rPr>
      </w:pPr>
      <w:r>
        <w:rPr>
          <w:rFonts w:ascii="Times New Roman" w:hAnsi="Times New Roman" w:cs="Times New Roman"/>
          <w:sz w:val="20"/>
        </w:rPr>
        <w:t xml:space="preserve">Table </w:t>
      </w:r>
      <w:r w:rsidR="006D401C">
        <w:rPr>
          <w:rFonts w:ascii="Times New Roman" w:hAnsi="Times New Roman" w:cs="Times New Roman"/>
          <w:sz w:val="20"/>
        </w:rPr>
        <w:t>4</w:t>
      </w:r>
      <w:r>
        <w:rPr>
          <w:rFonts w:ascii="Times New Roman" w:hAnsi="Times New Roman" w:cs="Times New Roman"/>
          <w:sz w:val="20"/>
        </w:rPr>
        <w:t>: Sales in Major Art Market, 2005-2015</w:t>
      </w:r>
    </w:p>
    <w:p w:rsidR="008949E3" w:rsidRDefault="008949E3" w:rsidP="008949E3">
      <w:pPr>
        <w:tabs>
          <w:tab w:val="left" w:pos="1305"/>
        </w:tabs>
        <w:rPr>
          <w:rFonts w:ascii="Times New Roman" w:hAnsi="Times New Roman" w:cs="Times New Roman"/>
          <w:sz w:val="20"/>
        </w:rPr>
      </w:pPr>
      <w:r>
        <w:rPr>
          <w:rFonts w:ascii="Times New Roman" w:hAnsi="Times New Roman" w:cs="Times New Roman"/>
          <w:noProof/>
          <w:sz w:val="20"/>
          <w:lang w:eastAsia="en-GB"/>
        </w:rPr>
        <w:drawing>
          <wp:anchor distT="0" distB="0" distL="114300" distR="114300" simplePos="0" relativeHeight="251663360" behindDoc="1" locked="0" layoutInCell="1" allowOverlap="1">
            <wp:simplePos x="0" y="0"/>
            <wp:positionH relativeFrom="column">
              <wp:posOffset>0</wp:posOffset>
            </wp:positionH>
            <wp:positionV relativeFrom="paragraph">
              <wp:posOffset>635</wp:posOffset>
            </wp:positionV>
            <wp:extent cx="4638675" cy="2488565"/>
            <wp:effectExtent l="0" t="0" r="9525" b="6985"/>
            <wp:wrapTight wrapText="bothSides">
              <wp:wrapPolygon edited="0">
                <wp:start x="0" y="0"/>
                <wp:lineTo x="0" y="21495"/>
                <wp:lineTo x="21556" y="21495"/>
                <wp:lineTo x="2155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8675" cy="2488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49E3" w:rsidRPr="008949E3" w:rsidRDefault="008949E3" w:rsidP="008949E3">
      <w:pPr>
        <w:rPr>
          <w:rFonts w:ascii="Times New Roman" w:hAnsi="Times New Roman" w:cs="Times New Roman"/>
          <w:sz w:val="20"/>
        </w:rPr>
      </w:pPr>
    </w:p>
    <w:p w:rsidR="008949E3" w:rsidRPr="008949E3" w:rsidRDefault="008949E3" w:rsidP="008949E3">
      <w:pPr>
        <w:rPr>
          <w:rFonts w:ascii="Times New Roman" w:hAnsi="Times New Roman" w:cs="Times New Roman"/>
          <w:sz w:val="20"/>
        </w:rPr>
      </w:pPr>
    </w:p>
    <w:p w:rsidR="008949E3" w:rsidRPr="008949E3" w:rsidRDefault="008949E3" w:rsidP="008949E3">
      <w:pPr>
        <w:rPr>
          <w:rFonts w:ascii="Times New Roman" w:hAnsi="Times New Roman" w:cs="Times New Roman"/>
          <w:sz w:val="20"/>
        </w:rPr>
      </w:pPr>
    </w:p>
    <w:p w:rsidR="008949E3" w:rsidRPr="008949E3" w:rsidRDefault="008949E3" w:rsidP="008949E3">
      <w:pPr>
        <w:rPr>
          <w:rFonts w:ascii="Times New Roman" w:hAnsi="Times New Roman" w:cs="Times New Roman"/>
          <w:sz w:val="20"/>
        </w:rPr>
      </w:pPr>
    </w:p>
    <w:p w:rsidR="008949E3" w:rsidRPr="008949E3" w:rsidRDefault="008949E3" w:rsidP="008949E3">
      <w:pPr>
        <w:rPr>
          <w:rFonts w:ascii="Times New Roman" w:hAnsi="Times New Roman" w:cs="Times New Roman"/>
          <w:sz w:val="20"/>
        </w:rPr>
      </w:pPr>
    </w:p>
    <w:p w:rsidR="008949E3" w:rsidRPr="008949E3" w:rsidRDefault="008949E3" w:rsidP="008949E3">
      <w:pPr>
        <w:rPr>
          <w:rFonts w:ascii="Times New Roman" w:hAnsi="Times New Roman" w:cs="Times New Roman"/>
          <w:sz w:val="20"/>
        </w:rPr>
      </w:pPr>
    </w:p>
    <w:p w:rsidR="008949E3" w:rsidRPr="008949E3" w:rsidRDefault="008949E3" w:rsidP="008949E3">
      <w:pPr>
        <w:rPr>
          <w:rFonts w:ascii="Times New Roman" w:hAnsi="Times New Roman" w:cs="Times New Roman"/>
          <w:sz w:val="20"/>
        </w:rPr>
      </w:pPr>
    </w:p>
    <w:p w:rsidR="008949E3" w:rsidRPr="008949E3" w:rsidRDefault="008949E3" w:rsidP="008949E3">
      <w:pPr>
        <w:rPr>
          <w:rFonts w:ascii="Times New Roman" w:hAnsi="Times New Roman" w:cs="Times New Roman"/>
          <w:sz w:val="20"/>
        </w:rPr>
      </w:pPr>
    </w:p>
    <w:p w:rsidR="008949E3" w:rsidRDefault="008949E3" w:rsidP="008949E3">
      <w:pPr>
        <w:tabs>
          <w:tab w:val="left" w:pos="1305"/>
        </w:tabs>
        <w:rPr>
          <w:rFonts w:ascii="Times New Roman" w:hAnsi="Times New Roman" w:cs="Times New Roman"/>
          <w:sz w:val="20"/>
        </w:rPr>
      </w:pPr>
      <w:r>
        <w:rPr>
          <w:rFonts w:ascii="Times New Roman" w:hAnsi="Times New Roman" w:cs="Times New Roman"/>
          <w:sz w:val="20"/>
        </w:rPr>
        <w:t xml:space="preserve">Table </w:t>
      </w:r>
      <w:r w:rsidR="006D401C">
        <w:rPr>
          <w:rFonts w:ascii="Times New Roman" w:hAnsi="Times New Roman" w:cs="Times New Roman"/>
          <w:sz w:val="20"/>
        </w:rPr>
        <w:t>5</w:t>
      </w:r>
      <w:r>
        <w:rPr>
          <w:rFonts w:ascii="Times New Roman" w:hAnsi="Times New Roman" w:cs="Times New Roman"/>
          <w:sz w:val="20"/>
        </w:rPr>
        <w:t xml:space="preserve">: Sales in </w:t>
      </w:r>
      <w:r>
        <w:rPr>
          <w:rFonts w:ascii="Times New Roman" w:hAnsi="Times New Roman" w:cs="Times New Roman"/>
          <w:sz w:val="20"/>
        </w:rPr>
        <w:t>Contemporary Art Market</w:t>
      </w:r>
      <w:r>
        <w:rPr>
          <w:rFonts w:ascii="Times New Roman" w:hAnsi="Times New Roman" w:cs="Times New Roman"/>
          <w:sz w:val="20"/>
        </w:rPr>
        <w:t>, 2005-2015</w:t>
      </w:r>
    </w:p>
    <w:p w:rsidR="00871019" w:rsidRDefault="00871019" w:rsidP="008949E3">
      <w:pPr>
        <w:ind w:firstLine="720"/>
        <w:rPr>
          <w:rFonts w:ascii="Times New Roman" w:hAnsi="Times New Roman" w:cs="Times New Roman"/>
          <w:sz w:val="20"/>
        </w:rPr>
      </w:pPr>
      <w:r>
        <w:rPr>
          <w:rFonts w:ascii="Times New Roman" w:hAnsi="Times New Roman" w:cs="Times New Roman"/>
          <w:noProof/>
          <w:sz w:val="20"/>
          <w:lang w:eastAsia="en-GB"/>
        </w:rPr>
        <w:drawing>
          <wp:anchor distT="0" distB="0" distL="114300" distR="114300" simplePos="0" relativeHeight="251664384" behindDoc="1" locked="0" layoutInCell="1" allowOverlap="1" wp14:anchorId="3AF4BFF8" wp14:editId="5A755D0A">
            <wp:simplePos x="0" y="0"/>
            <wp:positionH relativeFrom="column">
              <wp:posOffset>0</wp:posOffset>
            </wp:positionH>
            <wp:positionV relativeFrom="paragraph">
              <wp:posOffset>38100</wp:posOffset>
            </wp:positionV>
            <wp:extent cx="4814570" cy="2495550"/>
            <wp:effectExtent l="0" t="0" r="5080" b="0"/>
            <wp:wrapTight wrapText="bothSides">
              <wp:wrapPolygon edited="0">
                <wp:start x="0" y="0"/>
                <wp:lineTo x="0" y="21435"/>
                <wp:lineTo x="21537" y="21435"/>
                <wp:lineTo x="21537"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14570" cy="2495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Default="00871019" w:rsidP="00871019">
      <w:pPr>
        <w:tabs>
          <w:tab w:val="left" w:pos="1305"/>
        </w:tabs>
        <w:rPr>
          <w:rFonts w:ascii="Times New Roman" w:hAnsi="Times New Roman" w:cs="Times New Roman"/>
          <w:sz w:val="20"/>
        </w:rPr>
      </w:pPr>
      <w:r>
        <w:rPr>
          <w:rFonts w:ascii="Times New Roman" w:hAnsi="Times New Roman" w:cs="Times New Roman"/>
          <w:sz w:val="20"/>
        </w:rPr>
        <w:lastRenderedPageBreak/>
        <w:t xml:space="preserve">Table </w:t>
      </w:r>
      <w:r w:rsidR="006D401C">
        <w:rPr>
          <w:rFonts w:ascii="Times New Roman" w:hAnsi="Times New Roman" w:cs="Times New Roman"/>
          <w:sz w:val="20"/>
        </w:rPr>
        <w:t>6</w:t>
      </w:r>
      <w:r>
        <w:rPr>
          <w:rFonts w:ascii="Times New Roman" w:hAnsi="Times New Roman" w:cs="Times New Roman"/>
          <w:sz w:val="20"/>
        </w:rPr>
        <w:t xml:space="preserve">: </w:t>
      </w:r>
      <w:r>
        <w:rPr>
          <w:rFonts w:ascii="Times New Roman" w:hAnsi="Times New Roman" w:cs="Times New Roman"/>
          <w:sz w:val="20"/>
        </w:rPr>
        <w:t xml:space="preserve">Growth of Art </w:t>
      </w:r>
      <w:r>
        <w:rPr>
          <w:rFonts w:ascii="Times New Roman" w:hAnsi="Times New Roman" w:cs="Times New Roman"/>
          <w:sz w:val="20"/>
        </w:rPr>
        <w:t xml:space="preserve">Sales </w:t>
      </w:r>
      <w:r>
        <w:rPr>
          <w:rFonts w:ascii="Times New Roman" w:hAnsi="Times New Roman" w:cs="Times New Roman"/>
          <w:sz w:val="20"/>
        </w:rPr>
        <w:t>by Value of Price Segments</w:t>
      </w:r>
      <w:r>
        <w:rPr>
          <w:rFonts w:ascii="Times New Roman" w:hAnsi="Times New Roman" w:cs="Times New Roman"/>
          <w:sz w:val="20"/>
        </w:rPr>
        <w:t>, 2005-2015</w:t>
      </w:r>
    </w:p>
    <w:p w:rsidR="00871019" w:rsidRDefault="00871019" w:rsidP="00871019">
      <w:pPr>
        <w:tabs>
          <w:tab w:val="left" w:pos="1425"/>
        </w:tabs>
        <w:rPr>
          <w:rFonts w:ascii="Times New Roman" w:hAnsi="Times New Roman" w:cs="Times New Roman"/>
          <w:sz w:val="20"/>
        </w:rPr>
      </w:pPr>
      <w:r>
        <w:rPr>
          <w:rFonts w:ascii="Times New Roman" w:hAnsi="Times New Roman" w:cs="Times New Roman"/>
          <w:noProof/>
          <w:sz w:val="20"/>
          <w:lang w:eastAsia="en-GB"/>
        </w:rPr>
        <w:drawing>
          <wp:anchor distT="0" distB="0" distL="114300" distR="114300" simplePos="0" relativeHeight="251665408" behindDoc="1" locked="0" layoutInCell="1" allowOverlap="1" wp14:anchorId="5C643132" wp14:editId="0AC0362A">
            <wp:simplePos x="0" y="0"/>
            <wp:positionH relativeFrom="column">
              <wp:posOffset>2540</wp:posOffset>
            </wp:positionH>
            <wp:positionV relativeFrom="paragraph">
              <wp:posOffset>127000</wp:posOffset>
            </wp:positionV>
            <wp:extent cx="5007610" cy="2295525"/>
            <wp:effectExtent l="0" t="0" r="2540" b="9525"/>
            <wp:wrapTight wrapText="bothSides">
              <wp:wrapPolygon edited="0">
                <wp:start x="0" y="0"/>
                <wp:lineTo x="0" y="21510"/>
                <wp:lineTo x="21529" y="21510"/>
                <wp:lineTo x="21529"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07610" cy="2295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Pr="00871019" w:rsidRDefault="00871019" w:rsidP="00871019">
      <w:pPr>
        <w:rPr>
          <w:rFonts w:ascii="Times New Roman" w:hAnsi="Times New Roman" w:cs="Times New Roman"/>
          <w:sz w:val="20"/>
        </w:rPr>
      </w:pPr>
    </w:p>
    <w:p w:rsidR="00871019" w:rsidRDefault="00871019" w:rsidP="00871019">
      <w:pPr>
        <w:rPr>
          <w:rFonts w:ascii="Times New Roman" w:hAnsi="Times New Roman" w:cs="Times New Roman"/>
          <w:sz w:val="20"/>
        </w:rPr>
      </w:pPr>
      <w:r>
        <w:rPr>
          <w:rFonts w:ascii="Times New Roman" w:hAnsi="Times New Roman" w:cs="Times New Roman"/>
          <w:sz w:val="20"/>
        </w:rPr>
        <w:t xml:space="preserve">Table </w:t>
      </w:r>
      <w:r w:rsidR="006D401C">
        <w:rPr>
          <w:rFonts w:ascii="Times New Roman" w:hAnsi="Times New Roman" w:cs="Times New Roman"/>
          <w:sz w:val="20"/>
        </w:rPr>
        <w:t>7</w:t>
      </w:r>
      <w:r>
        <w:rPr>
          <w:rFonts w:ascii="Times New Roman" w:hAnsi="Times New Roman" w:cs="Times New Roman"/>
          <w:sz w:val="20"/>
        </w:rPr>
        <w:t>: Share of the Number of Artists by Price Segment, in 2015</w:t>
      </w:r>
    </w:p>
    <w:p w:rsidR="008949E3" w:rsidRPr="00871019" w:rsidRDefault="00871019" w:rsidP="00871019">
      <w:pPr>
        <w:tabs>
          <w:tab w:val="left" w:pos="960"/>
        </w:tabs>
        <w:rPr>
          <w:rFonts w:ascii="Times New Roman" w:hAnsi="Times New Roman" w:cs="Times New Roman"/>
          <w:sz w:val="20"/>
        </w:rPr>
      </w:pPr>
      <w:r>
        <w:rPr>
          <w:rFonts w:ascii="Times New Roman" w:hAnsi="Times New Roman" w:cs="Times New Roman"/>
          <w:noProof/>
          <w:sz w:val="20"/>
          <w:lang w:eastAsia="en-GB"/>
        </w:rPr>
        <w:drawing>
          <wp:anchor distT="0" distB="0" distL="114300" distR="114300" simplePos="0" relativeHeight="251667456" behindDoc="1" locked="0" layoutInCell="1" allowOverlap="1" wp14:anchorId="671F515D" wp14:editId="3781514D">
            <wp:simplePos x="0" y="0"/>
            <wp:positionH relativeFrom="column">
              <wp:posOffset>0</wp:posOffset>
            </wp:positionH>
            <wp:positionV relativeFrom="paragraph">
              <wp:posOffset>4445</wp:posOffset>
            </wp:positionV>
            <wp:extent cx="5229225" cy="2409825"/>
            <wp:effectExtent l="0" t="0" r="9525" b="9525"/>
            <wp:wrapTight wrapText="bothSides">
              <wp:wrapPolygon edited="0">
                <wp:start x="0" y="0"/>
                <wp:lineTo x="0" y="21515"/>
                <wp:lineTo x="21561" y="21515"/>
                <wp:lineTo x="21561"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29225" cy="2409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0"/>
        </w:rPr>
        <w:tab/>
      </w:r>
    </w:p>
    <w:sectPr w:rsidR="008949E3" w:rsidRPr="00871019">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2D8" w:rsidRDefault="005D62D8" w:rsidP="00392A31">
      <w:pPr>
        <w:spacing w:after="0" w:line="240" w:lineRule="auto"/>
      </w:pPr>
      <w:r>
        <w:separator/>
      </w:r>
    </w:p>
  </w:endnote>
  <w:endnote w:type="continuationSeparator" w:id="0">
    <w:p w:rsidR="005D62D8" w:rsidRDefault="005D62D8" w:rsidP="00392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475306"/>
      <w:docPartObj>
        <w:docPartGallery w:val="Page Numbers (Bottom of Page)"/>
        <w:docPartUnique/>
      </w:docPartObj>
    </w:sdtPr>
    <w:sdtEndPr>
      <w:rPr>
        <w:noProof/>
      </w:rPr>
    </w:sdtEndPr>
    <w:sdtContent>
      <w:p w:rsidR="004F250B" w:rsidRDefault="004F250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4F250B" w:rsidRDefault="004F25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2D8" w:rsidRDefault="005D62D8" w:rsidP="00392A31">
      <w:pPr>
        <w:spacing w:after="0" w:line="240" w:lineRule="auto"/>
      </w:pPr>
      <w:r>
        <w:separator/>
      </w:r>
    </w:p>
  </w:footnote>
  <w:footnote w:type="continuationSeparator" w:id="0">
    <w:p w:rsidR="005D62D8" w:rsidRDefault="005D62D8" w:rsidP="00392A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8C4606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E344DF3"/>
    <w:multiLevelType w:val="multilevel"/>
    <w:tmpl w:val="58366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BC6422"/>
    <w:multiLevelType w:val="hybridMultilevel"/>
    <w:tmpl w:val="945C230C"/>
    <w:lvl w:ilvl="0" w:tplc="D250FE58">
      <w:start w:val="1"/>
      <w:numFmt w:val="bullet"/>
      <w:lvlText w:val="•"/>
      <w:lvlJc w:val="left"/>
      <w:pPr>
        <w:tabs>
          <w:tab w:val="num" w:pos="720"/>
        </w:tabs>
        <w:ind w:left="720" w:hanging="360"/>
      </w:pPr>
      <w:rPr>
        <w:rFonts w:ascii="Arial" w:hAnsi="Arial" w:hint="default"/>
      </w:rPr>
    </w:lvl>
    <w:lvl w:ilvl="1" w:tplc="375E5C18" w:tentative="1">
      <w:start w:val="1"/>
      <w:numFmt w:val="bullet"/>
      <w:lvlText w:val="•"/>
      <w:lvlJc w:val="left"/>
      <w:pPr>
        <w:tabs>
          <w:tab w:val="num" w:pos="1440"/>
        </w:tabs>
        <w:ind w:left="1440" w:hanging="360"/>
      </w:pPr>
      <w:rPr>
        <w:rFonts w:ascii="Arial" w:hAnsi="Arial" w:hint="default"/>
      </w:rPr>
    </w:lvl>
    <w:lvl w:ilvl="2" w:tplc="7FB0FADC" w:tentative="1">
      <w:start w:val="1"/>
      <w:numFmt w:val="bullet"/>
      <w:lvlText w:val="•"/>
      <w:lvlJc w:val="left"/>
      <w:pPr>
        <w:tabs>
          <w:tab w:val="num" w:pos="2160"/>
        </w:tabs>
        <w:ind w:left="2160" w:hanging="360"/>
      </w:pPr>
      <w:rPr>
        <w:rFonts w:ascii="Arial" w:hAnsi="Arial" w:hint="default"/>
      </w:rPr>
    </w:lvl>
    <w:lvl w:ilvl="3" w:tplc="8E96B1A0" w:tentative="1">
      <w:start w:val="1"/>
      <w:numFmt w:val="bullet"/>
      <w:lvlText w:val="•"/>
      <w:lvlJc w:val="left"/>
      <w:pPr>
        <w:tabs>
          <w:tab w:val="num" w:pos="2880"/>
        </w:tabs>
        <w:ind w:left="2880" w:hanging="360"/>
      </w:pPr>
      <w:rPr>
        <w:rFonts w:ascii="Arial" w:hAnsi="Arial" w:hint="default"/>
      </w:rPr>
    </w:lvl>
    <w:lvl w:ilvl="4" w:tplc="E6224554" w:tentative="1">
      <w:start w:val="1"/>
      <w:numFmt w:val="bullet"/>
      <w:lvlText w:val="•"/>
      <w:lvlJc w:val="left"/>
      <w:pPr>
        <w:tabs>
          <w:tab w:val="num" w:pos="3600"/>
        </w:tabs>
        <w:ind w:left="3600" w:hanging="360"/>
      </w:pPr>
      <w:rPr>
        <w:rFonts w:ascii="Arial" w:hAnsi="Arial" w:hint="default"/>
      </w:rPr>
    </w:lvl>
    <w:lvl w:ilvl="5" w:tplc="012E7BCC" w:tentative="1">
      <w:start w:val="1"/>
      <w:numFmt w:val="bullet"/>
      <w:lvlText w:val="•"/>
      <w:lvlJc w:val="left"/>
      <w:pPr>
        <w:tabs>
          <w:tab w:val="num" w:pos="4320"/>
        </w:tabs>
        <w:ind w:left="4320" w:hanging="360"/>
      </w:pPr>
      <w:rPr>
        <w:rFonts w:ascii="Arial" w:hAnsi="Arial" w:hint="default"/>
      </w:rPr>
    </w:lvl>
    <w:lvl w:ilvl="6" w:tplc="DA5C9166" w:tentative="1">
      <w:start w:val="1"/>
      <w:numFmt w:val="bullet"/>
      <w:lvlText w:val="•"/>
      <w:lvlJc w:val="left"/>
      <w:pPr>
        <w:tabs>
          <w:tab w:val="num" w:pos="5040"/>
        </w:tabs>
        <w:ind w:left="5040" w:hanging="360"/>
      </w:pPr>
      <w:rPr>
        <w:rFonts w:ascii="Arial" w:hAnsi="Arial" w:hint="default"/>
      </w:rPr>
    </w:lvl>
    <w:lvl w:ilvl="7" w:tplc="83F00F00" w:tentative="1">
      <w:start w:val="1"/>
      <w:numFmt w:val="bullet"/>
      <w:lvlText w:val="•"/>
      <w:lvlJc w:val="left"/>
      <w:pPr>
        <w:tabs>
          <w:tab w:val="num" w:pos="5760"/>
        </w:tabs>
        <w:ind w:left="5760" w:hanging="360"/>
      </w:pPr>
      <w:rPr>
        <w:rFonts w:ascii="Arial" w:hAnsi="Arial" w:hint="default"/>
      </w:rPr>
    </w:lvl>
    <w:lvl w:ilvl="8" w:tplc="EE0CD7DC" w:tentative="1">
      <w:start w:val="1"/>
      <w:numFmt w:val="bullet"/>
      <w:lvlText w:val="•"/>
      <w:lvlJc w:val="left"/>
      <w:pPr>
        <w:tabs>
          <w:tab w:val="num" w:pos="6480"/>
        </w:tabs>
        <w:ind w:left="6480" w:hanging="360"/>
      </w:pPr>
      <w:rPr>
        <w:rFonts w:ascii="Arial" w:hAnsi="Arial" w:hint="default"/>
      </w:rPr>
    </w:lvl>
  </w:abstractNum>
  <w:abstractNum w:abstractNumId="3">
    <w:nsid w:val="57866700"/>
    <w:multiLevelType w:val="hybridMultilevel"/>
    <w:tmpl w:val="69A0AA0E"/>
    <w:lvl w:ilvl="0" w:tplc="89368078">
      <w:start w:val="1"/>
      <w:numFmt w:val="bullet"/>
      <w:lvlText w:val="•"/>
      <w:lvlJc w:val="left"/>
      <w:pPr>
        <w:tabs>
          <w:tab w:val="num" w:pos="720"/>
        </w:tabs>
        <w:ind w:left="720" w:hanging="360"/>
      </w:pPr>
      <w:rPr>
        <w:rFonts w:ascii="Arial" w:hAnsi="Arial" w:hint="default"/>
      </w:rPr>
    </w:lvl>
    <w:lvl w:ilvl="1" w:tplc="0C0EF1FC" w:tentative="1">
      <w:start w:val="1"/>
      <w:numFmt w:val="bullet"/>
      <w:lvlText w:val="•"/>
      <w:lvlJc w:val="left"/>
      <w:pPr>
        <w:tabs>
          <w:tab w:val="num" w:pos="1440"/>
        </w:tabs>
        <w:ind w:left="1440" w:hanging="360"/>
      </w:pPr>
      <w:rPr>
        <w:rFonts w:ascii="Arial" w:hAnsi="Arial" w:hint="default"/>
      </w:rPr>
    </w:lvl>
    <w:lvl w:ilvl="2" w:tplc="F2B0D37E" w:tentative="1">
      <w:start w:val="1"/>
      <w:numFmt w:val="bullet"/>
      <w:lvlText w:val="•"/>
      <w:lvlJc w:val="left"/>
      <w:pPr>
        <w:tabs>
          <w:tab w:val="num" w:pos="2160"/>
        </w:tabs>
        <w:ind w:left="2160" w:hanging="360"/>
      </w:pPr>
      <w:rPr>
        <w:rFonts w:ascii="Arial" w:hAnsi="Arial" w:hint="default"/>
      </w:rPr>
    </w:lvl>
    <w:lvl w:ilvl="3" w:tplc="077EC160" w:tentative="1">
      <w:start w:val="1"/>
      <w:numFmt w:val="bullet"/>
      <w:lvlText w:val="•"/>
      <w:lvlJc w:val="left"/>
      <w:pPr>
        <w:tabs>
          <w:tab w:val="num" w:pos="2880"/>
        </w:tabs>
        <w:ind w:left="2880" w:hanging="360"/>
      </w:pPr>
      <w:rPr>
        <w:rFonts w:ascii="Arial" w:hAnsi="Arial" w:hint="default"/>
      </w:rPr>
    </w:lvl>
    <w:lvl w:ilvl="4" w:tplc="F35CBF0E" w:tentative="1">
      <w:start w:val="1"/>
      <w:numFmt w:val="bullet"/>
      <w:lvlText w:val="•"/>
      <w:lvlJc w:val="left"/>
      <w:pPr>
        <w:tabs>
          <w:tab w:val="num" w:pos="3600"/>
        </w:tabs>
        <w:ind w:left="3600" w:hanging="360"/>
      </w:pPr>
      <w:rPr>
        <w:rFonts w:ascii="Arial" w:hAnsi="Arial" w:hint="default"/>
      </w:rPr>
    </w:lvl>
    <w:lvl w:ilvl="5" w:tplc="25BC0B9E" w:tentative="1">
      <w:start w:val="1"/>
      <w:numFmt w:val="bullet"/>
      <w:lvlText w:val="•"/>
      <w:lvlJc w:val="left"/>
      <w:pPr>
        <w:tabs>
          <w:tab w:val="num" w:pos="4320"/>
        </w:tabs>
        <w:ind w:left="4320" w:hanging="360"/>
      </w:pPr>
      <w:rPr>
        <w:rFonts w:ascii="Arial" w:hAnsi="Arial" w:hint="default"/>
      </w:rPr>
    </w:lvl>
    <w:lvl w:ilvl="6" w:tplc="FF727A78" w:tentative="1">
      <w:start w:val="1"/>
      <w:numFmt w:val="bullet"/>
      <w:lvlText w:val="•"/>
      <w:lvlJc w:val="left"/>
      <w:pPr>
        <w:tabs>
          <w:tab w:val="num" w:pos="5040"/>
        </w:tabs>
        <w:ind w:left="5040" w:hanging="360"/>
      </w:pPr>
      <w:rPr>
        <w:rFonts w:ascii="Arial" w:hAnsi="Arial" w:hint="default"/>
      </w:rPr>
    </w:lvl>
    <w:lvl w:ilvl="7" w:tplc="C8E0DED2" w:tentative="1">
      <w:start w:val="1"/>
      <w:numFmt w:val="bullet"/>
      <w:lvlText w:val="•"/>
      <w:lvlJc w:val="left"/>
      <w:pPr>
        <w:tabs>
          <w:tab w:val="num" w:pos="5760"/>
        </w:tabs>
        <w:ind w:left="5760" w:hanging="360"/>
      </w:pPr>
      <w:rPr>
        <w:rFonts w:ascii="Arial" w:hAnsi="Arial" w:hint="default"/>
      </w:rPr>
    </w:lvl>
    <w:lvl w:ilvl="8" w:tplc="C14AAF3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412"/>
    <w:rsid w:val="00103679"/>
    <w:rsid w:val="001B36F8"/>
    <w:rsid w:val="001F1E2D"/>
    <w:rsid w:val="00282924"/>
    <w:rsid w:val="002F3191"/>
    <w:rsid w:val="00357738"/>
    <w:rsid w:val="00392A31"/>
    <w:rsid w:val="00395184"/>
    <w:rsid w:val="003A168C"/>
    <w:rsid w:val="003C7878"/>
    <w:rsid w:val="003E6471"/>
    <w:rsid w:val="004012AB"/>
    <w:rsid w:val="00460F39"/>
    <w:rsid w:val="00483904"/>
    <w:rsid w:val="00485A9C"/>
    <w:rsid w:val="00494CE3"/>
    <w:rsid w:val="004C61A7"/>
    <w:rsid w:val="004F250B"/>
    <w:rsid w:val="00531930"/>
    <w:rsid w:val="005B2681"/>
    <w:rsid w:val="005D62D8"/>
    <w:rsid w:val="00602116"/>
    <w:rsid w:val="00682A6A"/>
    <w:rsid w:val="006D401C"/>
    <w:rsid w:val="00700E9F"/>
    <w:rsid w:val="00763209"/>
    <w:rsid w:val="007D3D8B"/>
    <w:rsid w:val="00871019"/>
    <w:rsid w:val="008949E3"/>
    <w:rsid w:val="00992339"/>
    <w:rsid w:val="009E5871"/>
    <w:rsid w:val="00AE1DC6"/>
    <w:rsid w:val="00B76786"/>
    <w:rsid w:val="00BB3412"/>
    <w:rsid w:val="00C003CC"/>
    <w:rsid w:val="00D625BA"/>
    <w:rsid w:val="00DA3907"/>
    <w:rsid w:val="00DD6A6F"/>
    <w:rsid w:val="00E01BD9"/>
    <w:rsid w:val="00E65CA5"/>
    <w:rsid w:val="00E8092D"/>
    <w:rsid w:val="00F24FB2"/>
    <w:rsid w:val="00F63E07"/>
    <w:rsid w:val="00F8213F"/>
    <w:rsid w:val="00FB3AD9"/>
    <w:rsid w:val="00FD0AC7"/>
    <w:rsid w:val="00FD751C"/>
    <w:rsid w:val="00FF3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92A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992339"/>
    <w:pPr>
      <w:numPr>
        <w:numId w:val="1"/>
      </w:numPr>
      <w:contextualSpacing/>
    </w:pPr>
  </w:style>
  <w:style w:type="character" w:customStyle="1" w:styleId="A13">
    <w:name w:val="A13"/>
    <w:uiPriority w:val="99"/>
    <w:rsid w:val="003C7878"/>
    <w:rPr>
      <w:rFonts w:cs="HelveticaNeueLT Std"/>
      <w:b/>
      <w:bCs/>
      <w:color w:val="000000"/>
      <w:sz w:val="30"/>
      <w:szCs w:val="30"/>
    </w:rPr>
  </w:style>
  <w:style w:type="paragraph" w:styleId="BalloonText">
    <w:name w:val="Balloon Text"/>
    <w:basedOn w:val="Normal"/>
    <w:link w:val="BalloonTextChar"/>
    <w:uiPriority w:val="99"/>
    <w:semiHidden/>
    <w:unhideWhenUsed/>
    <w:rsid w:val="003C7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878"/>
    <w:rPr>
      <w:rFonts w:ascii="Tahoma" w:hAnsi="Tahoma" w:cs="Tahoma"/>
      <w:sz w:val="16"/>
      <w:szCs w:val="16"/>
    </w:rPr>
  </w:style>
  <w:style w:type="character" w:customStyle="1" w:styleId="apple-converted-space">
    <w:name w:val="apple-converted-space"/>
    <w:basedOn w:val="DefaultParagraphFont"/>
    <w:rsid w:val="00B76786"/>
  </w:style>
  <w:style w:type="paragraph" w:styleId="FootnoteText">
    <w:name w:val="footnote text"/>
    <w:basedOn w:val="Normal"/>
    <w:link w:val="FootnoteTextChar"/>
    <w:uiPriority w:val="99"/>
    <w:semiHidden/>
    <w:unhideWhenUsed/>
    <w:rsid w:val="00392A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2A31"/>
    <w:rPr>
      <w:sz w:val="20"/>
      <w:szCs w:val="20"/>
    </w:rPr>
  </w:style>
  <w:style w:type="character" w:styleId="FootnoteReference">
    <w:name w:val="footnote reference"/>
    <w:basedOn w:val="DefaultParagraphFont"/>
    <w:uiPriority w:val="99"/>
    <w:semiHidden/>
    <w:unhideWhenUsed/>
    <w:rsid w:val="00392A31"/>
    <w:rPr>
      <w:vertAlign w:val="superscript"/>
    </w:rPr>
  </w:style>
  <w:style w:type="character" w:customStyle="1" w:styleId="Heading1Char">
    <w:name w:val="Heading 1 Char"/>
    <w:basedOn w:val="DefaultParagraphFont"/>
    <w:link w:val="Heading1"/>
    <w:uiPriority w:val="9"/>
    <w:rsid w:val="00392A31"/>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392A31"/>
    <w:rPr>
      <w:color w:val="0000FF"/>
      <w:u w:val="single"/>
    </w:rPr>
  </w:style>
  <w:style w:type="paragraph" w:styleId="Header">
    <w:name w:val="header"/>
    <w:basedOn w:val="Normal"/>
    <w:link w:val="HeaderChar"/>
    <w:uiPriority w:val="99"/>
    <w:unhideWhenUsed/>
    <w:rsid w:val="00F63E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E07"/>
  </w:style>
  <w:style w:type="paragraph" w:styleId="Footer">
    <w:name w:val="footer"/>
    <w:basedOn w:val="Normal"/>
    <w:link w:val="FooterChar"/>
    <w:uiPriority w:val="99"/>
    <w:unhideWhenUsed/>
    <w:rsid w:val="00F63E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E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92A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992339"/>
    <w:pPr>
      <w:numPr>
        <w:numId w:val="1"/>
      </w:numPr>
      <w:contextualSpacing/>
    </w:pPr>
  </w:style>
  <w:style w:type="character" w:customStyle="1" w:styleId="A13">
    <w:name w:val="A13"/>
    <w:uiPriority w:val="99"/>
    <w:rsid w:val="003C7878"/>
    <w:rPr>
      <w:rFonts w:cs="HelveticaNeueLT Std"/>
      <w:b/>
      <w:bCs/>
      <w:color w:val="000000"/>
      <w:sz w:val="30"/>
      <w:szCs w:val="30"/>
    </w:rPr>
  </w:style>
  <w:style w:type="paragraph" w:styleId="BalloonText">
    <w:name w:val="Balloon Text"/>
    <w:basedOn w:val="Normal"/>
    <w:link w:val="BalloonTextChar"/>
    <w:uiPriority w:val="99"/>
    <w:semiHidden/>
    <w:unhideWhenUsed/>
    <w:rsid w:val="003C7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878"/>
    <w:rPr>
      <w:rFonts w:ascii="Tahoma" w:hAnsi="Tahoma" w:cs="Tahoma"/>
      <w:sz w:val="16"/>
      <w:szCs w:val="16"/>
    </w:rPr>
  </w:style>
  <w:style w:type="character" w:customStyle="1" w:styleId="apple-converted-space">
    <w:name w:val="apple-converted-space"/>
    <w:basedOn w:val="DefaultParagraphFont"/>
    <w:rsid w:val="00B76786"/>
  </w:style>
  <w:style w:type="paragraph" w:styleId="FootnoteText">
    <w:name w:val="footnote text"/>
    <w:basedOn w:val="Normal"/>
    <w:link w:val="FootnoteTextChar"/>
    <w:uiPriority w:val="99"/>
    <w:semiHidden/>
    <w:unhideWhenUsed/>
    <w:rsid w:val="00392A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2A31"/>
    <w:rPr>
      <w:sz w:val="20"/>
      <w:szCs w:val="20"/>
    </w:rPr>
  </w:style>
  <w:style w:type="character" w:styleId="FootnoteReference">
    <w:name w:val="footnote reference"/>
    <w:basedOn w:val="DefaultParagraphFont"/>
    <w:uiPriority w:val="99"/>
    <w:semiHidden/>
    <w:unhideWhenUsed/>
    <w:rsid w:val="00392A31"/>
    <w:rPr>
      <w:vertAlign w:val="superscript"/>
    </w:rPr>
  </w:style>
  <w:style w:type="character" w:customStyle="1" w:styleId="Heading1Char">
    <w:name w:val="Heading 1 Char"/>
    <w:basedOn w:val="DefaultParagraphFont"/>
    <w:link w:val="Heading1"/>
    <w:uiPriority w:val="9"/>
    <w:rsid w:val="00392A31"/>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392A31"/>
    <w:rPr>
      <w:color w:val="0000FF"/>
      <w:u w:val="single"/>
    </w:rPr>
  </w:style>
  <w:style w:type="paragraph" w:styleId="Header">
    <w:name w:val="header"/>
    <w:basedOn w:val="Normal"/>
    <w:link w:val="HeaderChar"/>
    <w:uiPriority w:val="99"/>
    <w:unhideWhenUsed/>
    <w:rsid w:val="00F63E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E07"/>
  </w:style>
  <w:style w:type="paragraph" w:styleId="Footer">
    <w:name w:val="footer"/>
    <w:basedOn w:val="Normal"/>
    <w:link w:val="FooterChar"/>
    <w:uiPriority w:val="99"/>
    <w:unhideWhenUsed/>
    <w:rsid w:val="00F63E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492356">
      <w:bodyDiv w:val="1"/>
      <w:marLeft w:val="0"/>
      <w:marRight w:val="0"/>
      <w:marTop w:val="0"/>
      <w:marBottom w:val="0"/>
      <w:divBdr>
        <w:top w:val="none" w:sz="0" w:space="0" w:color="auto"/>
        <w:left w:val="none" w:sz="0" w:space="0" w:color="auto"/>
        <w:bottom w:val="none" w:sz="0" w:space="0" w:color="auto"/>
        <w:right w:val="none" w:sz="0" w:space="0" w:color="auto"/>
      </w:divBdr>
    </w:div>
    <w:div w:id="1278028051">
      <w:bodyDiv w:val="1"/>
      <w:marLeft w:val="0"/>
      <w:marRight w:val="0"/>
      <w:marTop w:val="0"/>
      <w:marBottom w:val="0"/>
      <w:divBdr>
        <w:top w:val="none" w:sz="0" w:space="0" w:color="auto"/>
        <w:left w:val="none" w:sz="0" w:space="0" w:color="auto"/>
        <w:bottom w:val="none" w:sz="0" w:space="0" w:color="auto"/>
        <w:right w:val="none" w:sz="0" w:space="0" w:color="auto"/>
      </w:divBdr>
      <w:divsChild>
        <w:div w:id="54549389">
          <w:marLeft w:val="547"/>
          <w:marRight w:val="0"/>
          <w:marTop w:val="86"/>
          <w:marBottom w:val="0"/>
          <w:divBdr>
            <w:top w:val="none" w:sz="0" w:space="0" w:color="auto"/>
            <w:left w:val="none" w:sz="0" w:space="0" w:color="auto"/>
            <w:bottom w:val="none" w:sz="0" w:space="0" w:color="auto"/>
            <w:right w:val="none" w:sz="0" w:space="0" w:color="auto"/>
          </w:divBdr>
        </w:div>
      </w:divsChild>
    </w:div>
    <w:div w:id="1521821141">
      <w:bodyDiv w:val="1"/>
      <w:marLeft w:val="0"/>
      <w:marRight w:val="0"/>
      <w:marTop w:val="0"/>
      <w:marBottom w:val="0"/>
      <w:divBdr>
        <w:top w:val="none" w:sz="0" w:space="0" w:color="auto"/>
        <w:left w:val="none" w:sz="0" w:space="0" w:color="auto"/>
        <w:bottom w:val="none" w:sz="0" w:space="0" w:color="auto"/>
        <w:right w:val="none" w:sz="0" w:space="0" w:color="auto"/>
      </w:divBdr>
      <w:divsChild>
        <w:div w:id="521474595">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ndard.co.uk/news/london/cost-of-living-is-starving-capital-of-working-artists-says-tate-boss-nicholas-serota-a3203506.html"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BBF73-8AE7-4AFE-B560-238D5FD6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2114</Words>
  <Characters>12053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Samdanis, Marios</dc:creator>
  <cp:lastModifiedBy>Samdanis, Marios</cp:lastModifiedBy>
  <cp:revision>3</cp:revision>
  <dcterms:created xsi:type="dcterms:W3CDTF">2016-04-16T02:42:00Z</dcterms:created>
  <dcterms:modified xsi:type="dcterms:W3CDTF">2016-04-16T02:46:00Z</dcterms:modified>
</cp:coreProperties>
</file>